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80" w:right="1560" w:hanging="3872"/>
        <w:spacing w:after="0" w:line="273" w:lineRule="auto"/>
        <w:tabs>
          <w:tab w:leader="none" w:pos="52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765" w:right="339" w:bottom="1440" w:gutter="0" w:footer="0" w:header="0"/>
        </w:sectPr>
      </w:pPr>
    </w:p>
    <w:p>
      <w:pPr>
        <w:spacing w:after="0" w:line="59"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34" w:lineRule="exact"/>
        <w:rPr>
          <w:sz w:val="24"/>
          <w:szCs w:val="24"/>
          <w:color w:val="auto"/>
        </w:rPr>
      </w:pPr>
    </w:p>
    <w:p>
      <w:pPr>
        <w:sectPr>
          <w:pgSz w:w="11900" w:h="16838" w:orient="portrait"/>
          <w:cols w:equalWidth="0" w:num="2">
            <w:col w:w="6400" w:space="620"/>
            <w:col w:w="4220"/>
          </w:cols>
          <w:pgMar w:left="320" w:top="765"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001-35066</w:t>
      </w:r>
    </w:p>
    <w:p>
      <w:pPr>
        <w:sectPr>
          <w:pgSz w:w="11900" w:h="16838" w:orient="portrait"/>
          <w:cols w:equalWidth="0" w:num="1">
            <w:col w:w="11240"/>
          </w:cols>
          <w:pgMar w:left="320" w:top="765" w:right="339" w:bottom="1440" w:gutter="0" w:footer="0" w:header="0"/>
          <w:type w:val="continuous"/>
        </w:sectPr>
      </w:pP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IMAX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765" w:right="339" w:bottom="1440" w:gutter="0" w:footer="0" w:header="0"/>
          <w:type w:val="continuous"/>
        </w:sectPr>
      </w:pPr>
    </w:p>
    <w:p>
      <w:pPr>
        <w:spacing w:after="0" w:line="390"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Canada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4740"/>
        <w:spacing w:after="0"/>
        <w:rPr>
          <w:sz w:val="20"/>
          <w:szCs w:val="20"/>
          <w:color w:val="auto"/>
        </w:rPr>
      </w:pPr>
      <w:r>
        <w:rPr>
          <w:rFonts w:ascii="Arial" w:cs="Arial" w:eastAsia="Arial" w:hAnsi="Arial"/>
          <w:sz w:val="16"/>
          <w:szCs w:val="16"/>
          <w:b w:val="1"/>
          <w:bCs w:val="1"/>
          <w:color w:val="auto"/>
        </w:rPr>
        <w:t>98-0140269</w:t>
      </w:r>
    </w:p>
    <w:p>
      <w:pPr>
        <w:spacing w:after="0" w:line="4" w:lineRule="exact"/>
        <w:rPr>
          <w:sz w:val="24"/>
          <w:szCs w:val="24"/>
          <w:color w:val="auto"/>
        </w:rPr>
      </w:pPr>
    </w:p>
    <w:p>
      <w:pPr>
        <w:sectPr>
          <w:pgSz w:w="11900" w:h="16838" w:orient="portrait"/>
          <w:cols w:equalWidth="0" w:num="2">
            <w:col w:w="4920" w:space="720"/>
            <w:col w:w="5600"/>
          </w:cols>
          <w:pgMar w:left="320" w:top="765" w:right="339" w:bottom="1440" w:gutter="0" w:footer="0" w:header="0"/>
          <w:type w:val="continuous"/>
        </w:sectPr>
      </w:pPr>
    </w:p>
    <w:p>
      <w:pPr>
        <w:ind w:left="20"/>
        <w:spacing w:after="0"/>
        <w:rPr>
          <w:sz w:val="20"/>
          <w:szCs w:val="20"/>
          <w:color w:val="auto"/>
        </w:rPr>
      </w:pPr>
      <w:r>
        <w:rPr>
          <w:rFonts w:ascii="Arial" w:cs="Arial" w:eastAsia="Arial" w:hAnsi="Arial"/>
          <w:sz w:val="14"/>
          <w:szCs w:val="14"/>
          <w:i w:val="1"/>
          <w:iCs w:val="1"/>
          <w:color w:val="auto"/>
        </w:rPr>
        <w:t>(State or other jurisdiction of</w:t>
      </w:r>
    </w:p>
    <w:p>
      <w:pPr>
        <w:ind w:left="2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3"/>
          <w:szCs w:val="13"/>
          <w:i w:val="1"/>
          <w:iCs w:val="1"/>
          <w:color w:val="auto"/>
        </w:rPr>
        <w:t>Identification Number)</w:t>
      </w:r>
    </w:p>
    <w:p>
      <w:pPr>
        <w:spacing w:after="0" w:line="97" w:lineRule="exact"/>
        <w:rPr>
          <w:sz w:val="24"/>
          <w:szCs w:val="24"/>
          <w:color w:val="auto"/>
        </w:rPr>
      </w:pPr>
    </w:p>
    <w:p>
      <w:pPr>
        <w:sectPr>
          <w:pgSz w:w="11900" w:h="16838" w:orient="portrait"/>
          <w:cols w:equalWidth="0" w:num="2">
            <w:col w:w="4920" w:space="720"/>
            <w:col w:w="5600"/>
          </w:cols>
          <w:pgMar w:left="320" w:top="765"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2525 Speakman Drive,</w:t>
      </w:r>
    </w:p>
    <w:p>
      <w:pPr>
        <w:ind w:left="20"/>
        <w:spacing w:after="0" w:line="228" w:lineRule="auto"/>
        <w:rPr>
          <w:sz w:val="20"/>
          <w:szCs w:val="20"/>
          <w:color w:val="auto"/>
        </w:rPr>
      </w:pPr>
      <w:r>
        <w:rPr>
          <w:rFonts w:ascii="Arial" w:cs="Arial" w:eastAsia="Arial" w:hAnsi="Arial"/>
          <w:sz w:val="16"/>
          <w:szCs w:val="16"/>
          <w:b w:val="1"/>
          <w:bCs w:val="1"/>
          <w:color w:val="auto"/>
        </w:rPr>
        <w:t>Mississauga, Ontario, Canada L5K 1B1</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(905) 403-6500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902 Broadway, Floor 20</w:t>
      </w:r>
    </w:p>
    <w:p>
      <w:pPr>
        <w:spacing w:after="0" w:line="228" w:lineRule="auto"/>
        <w:rPr>
          <w:sz w:val="20"/>
          <w:szCs w:val="20"/>
          <w:color w:val="auto"/>
        </w:rPr>
      </w:pPr>
      <w:r>
        <w:rPr>
          <w:rFonts w:ascii="Arial" w:cs="Arial" w:eastAsia="Arial" w:hAnsi="Arial"/>
          <w:sz w:val="16"/>
          <w:szCs w:val="16"/>
          <w:b w:val="1"/>
          <w:bCs w:val="1"/>
          <w:color w:val="auto"/>
        </w:rPr>
        <w:t>New York, New York, USA 10010</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(212) 821-0100</w:t>
      </w:r>
    </w:p>
    <w:p>
      <w:pPr>
        <w:spacing w:after="0" w:line="155" w:lineRule="exact"/>
        <w:rPr>
          <w:sz w:val="24"/>
          <w:szCs w:val="24"/>
          <w:color w:val="auto"/>
        </w:rPr>
      </w:pPr>
    </w:p>
    <w:p>
      <w:pPr>
        <w:sectPr>
          <w:pgSz w:w="11900" w:h="16838" w:orient="portrait"/>
          <w:cols w:equalWidth="0" w:num="2">
            <w:col w:w="4920" w:space="720"/>
            <w:col w:w="5600"/>
          </w:cols>
          <w:pgMar w:left="320" w:top="765" w:right="3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200" w:type="dxa"/>
            <w:vAlign w:val="bottom"/>
          </w:tcPr>
          <w:p>
            <w:pPr>
              <w:spacing w:after="0"/>
              <w:rPr>
                <w:sz w:val="16"/>
                <w:szCs w:val="16"/>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6"/>
                <w:szCs w:val="16"/>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Common Shares, no par value</w:t>
            </w:r>
          </w:p>
        </w:tc>
        <w:tc>
          <w:tcPr>
            <w:tcW w:w="2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IMAX</w:t>
            </w:r>
          </w:p>
        </w:tc>
        <w:tc>
          <w:tcPr>
            <w:tcW w:w="1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The New York Stock Exchange</w:t>
            </w:r>
          </w:p>
        </w:tc>
      </w:tr>
    </w:tbl>
    <w:p>
      <w:pPr>
        <w:spacing w:after="0" w:line="345" w:lineRule="exact"/>
        <w:rPr>
          <w:sz w:val="24"/>
          <w:szCs w:val="24"/>
          <w:color w:val="auto"/>
        </w:rPr>
      </w:pPr>
    </w:p>
    <w:p>
      <w:pPr>
        <w:jc w:val="both"/>
        <w:ind w:firstLine="224"/>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jc w:val="both"/>
        <w:ind w:firstLine="224"/>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firstLine="224"/>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line="202" w:lineRule="exact"/>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8" w:lineRule="exact"/>
        <w:rPr>
          <w:sz w:val="24"/>
          <w:szCs w:val="24"/>
          <w:color w:val="auto"/>
        </w:rPr>
      </w:pPr>
    </w:p>
    <w:p>
      <w:pPr>
        <w:ind w:firstLine="22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40"/>
        <w:spacing w:after="0" w:line="196" w:lineRule="exact"/>
        <w:tabs>
          <w:tab w:leader="none" w:pos="91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7"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w:t>
            </w:r>
          </w:p>
        </w:tc>
        <w:tc>
          <w:tcPr>
            <w:tcW w:w="240" w:type="dxa"/>
            <w:vAlign w:val="bottom"/>
          </w:tcPr>
          <w:p>
            <w:pPr>
              <w:spacing w:after="0"/>
              <w:rPr>
                <w:sz w:val="16"/>
                <w:szCs w:val="16"/>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Outstanding as of June 30, 2022</w:t>
            </w:r>
          </w:p>
        </w:tc>
      </w:tr>
      <w:tr>
        <w:trPr>
          <w:trHeight w:val="224"/>
        </w:trPr>
        <w:tc>
          <w:tcPr>
            <w:tcW w:w="5500" w:type="dxa"/>
            <w:vAlign w:val="bottom"/>
          </w:tcPr>
          <w:p>
            <w:pPr>
              <w:ind w:left="20"/>
              <w:spacing w:after="0"/>
              <w:rPr>
                <w:sz w:val="20"/>
                <w:szCs w:val="20"/>
                <w:color w:val="auto"/>
              </w:rPr>
            </w:pPr>
            <w:r>
              <w:rPr>
                <w:rFonts w:ascii="Arial" w:cs="Arial" w:eastAsia="Arial" w:hAnsi="Arial"/>
                <w:sz w:val="18"/>
                <w:szCs w:val="18"/>
                <w:color w:val="auto"/>
              </w:rPr>
              <w:t>Common Shares, no par value</w:t>
            </w:r>
          </w:p>
        </w:tc>
        <w:tc>
          <w:tcPr>
            <w:tcW w:w="2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56,095,372</w:t>
            </w:r>
          </w:p>
        </w:tc>
      </w:tr>
      <w:tr>
        <w:trPr>
          <w:trHeight w:val="593"/>
        </w:trPr>
        <w:tc>
          <w:tcPr>
            <w:tcW w:w="5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298"/>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280" w:type="dxa"/>
            <w:vAlign w:val="bottom"/>
            <w:gridSpan w:val="14"/>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80" w:type="dxa"/>
            <w:vAlign w:val="bottom"/>
            <w:gridSpan w:val="14"/>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0" w:type="dxa"/>
            <w:vAlign w:val="bottom"/>
            <w:tcBorders>
              <w:top w:val="single" w:sz="8" w:color="0000FF"/>
              <w:bottom w:val="single" w:sz="8" w:color="0000EE"/>
            </w:tcBorders>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722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260" w:type="dxa"/>
            <w:vAlign w:val="bottom"/>
            <w:gridSpan w:val="12"/>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Management’s Discussion and Analysis of Financial Condition and Results of Operations</w:t>
              </w:r>
            </w:hyperlink>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Quantitative and Qualitative Disclosures about Market Risk</w:t>
              </w:r>
            </w:hyperlink>
          </w:p>
        </w:tc>
        <w:tc>
          <w:tcPr>
            <w:tcW w:w="280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81">
              <w:r>
                <w:rPr>
                  <w:rFonts w:ascii="Arial" w:cs="Arial" w:eastAsia="Arial" w:hAnsi="Arial"/>
                  <w:sz w:val="18"/>
                  <w:szCs w:val="18"/>
                  <w:color w:val="0000FF"/>
                </w:rPr>
                <w:t>Controls and Procedures</w:t>
              </w:r>
            </w:hyperlink>
          </w:p>
        </w:tc>
        <w:tc>
          <w:tcPr>
            <w:tcW w:w="40" w:type="dxa"/>
            <w:vAlign w:val="bottom"/>
          </w:tcPr>
          <w:p>
            <w:pPr>
              <w:spacing w:after="0"/>
              <w:rPr>
                <w:sz w:val="15"/>
                <w:szCs w:val="15"/>
                <w:color w:val="auto"/>
              </w:rPr>
            </w:pPr>
          </w:p>
        </w:tc>
        <w:tc>
          <w:tcPr>
            <w:tcW w:w="4920" w:type="dxa"/>
            <w:vAlign w:val="bottom"/>
            <w:gridSpan w:val="2"/>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80" w:type="dxa"/>
            <w:vAlign w:val="bottom"/>
            <w:gridSpan w:val="14"/>
          </w:tcPr>
          <w:p>
            <w:pPr>
              <w:spacing w:after="0"/>
              <w:rPr>
                <w:rFonts w:ascii="Arial" w:cs="Arial" w:eastAsia="Arial" w:hAnsi="Arial"/>
                <w:sz w:val="18"/>
                <w:szCs w:val="18"/>
                <w:b w:val="1"/>
                <w:bCs w:val="1"/>
                <w:color w:val="0000FF"/>
              </w:rPr>
            </w:pPr>
            <w:hyperlink w:anchor="page82">
              <w:r>
                <w:rPr>
                  <w:rFonts w:ascii="Arial" w:cs="Arial" w:eastAsia="Arial" w:hAnsi="Arial"/>
                  <w:sz w:val="18"/>
                  <w:szCs w:val="18"/>
                  <w:b w:val="1"/>
                  <w:bCs w:val="1"/>
                  <w:color w:val="0000FF"/>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top w:val="single" w:sz="8" w:color="0000EE"/>
            </w:tcBorders>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Legal Proceedings</w:t>
              </w:r>
            </w:hyperlink>
          </w:p>
        </w:tc>
        <w:tc>
          <w:tcPr>
            <w:tcW w:w="750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7"/>
              </w:rPr>
            </w:pPr>
            <w:hyperlink w:anchor="page82">
              <w:r>
                <w:rPr>
                  <w:rFonts w:ascii="Arial" w:cs="Arial" w:eastAsia="Arial" w:hAnsi="Arial"/>
                  <w:sz w:val="18"/>
                  <w:szCs w:val="18"/>
                  <w:color w:val="0000FF"/>
                  <w:w w:val="87"/>
                </w:rPr>
                <w:t>Risk Factors</w:t>
              </w:r>
            </w:hyperlink>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020" w:type="dxa"/>
            <w:vAlign w:val="bottom"/>
            <w:gridSpan w:val="6"/>
          </w:tcPr>
          <w:p>
            <w:pPr>
              <w:spacing w:after="0"/>
              <w:rPr>
                <w:sz w:val="15"/>
                <w:szCs w:val="15"/>
                <w:color w:val="auto"/>
              </w:rPr>
            </w:pPr>
          </w:p>
        </w:tc>
        <w:tc>
          <w:tcPr>
            <w:tcW w:w="4920" w:type="dxa"/>
            <w:vAlign w:val="bottom"/>
            <w:gridSpan w:val="2"/>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20" w:type="dxa"/>
            <w:vAlign w:val="bottom"/>
            <w:gridSpan w:val="3"/>
          </w:tcPr>
          <w:p>
            <w:pPr>
              <w:spacing w:after="0" w:line="182" w:lineRule="exact"/>
              <w:rPr>
                <w:rFonts w:ascii="Arial" w:cs="Arial" w:eastAsia="Arial" w:hAnsi="Arial"/>
                <w:sz w:val="18"/>
                <w:szCs w:val="18"/>
                <w:color w:val="0000FF"/>
                <w:w w:val="87"/>
              </w:rPr>
            </w:pPr>
            <w:hyperlink w:anchor="page84">
              <w:r>
                <w:rPr>
                  <w:rFonts w:ascii="Arial" w:cs="Arial" w:eastAsia="Arial" w:hAnsi="Arial"/>
                  <w:sz w:val="18"/>
                  <w:szCs w:val="18"/>
                  <w:color w:val="0000FF"/>
                  <w:w w:val="87"/>
                </w:rPr>
                <w:t>Unregistered</w:t>
              </w:r>
            </w:hyperlink>
          </w:p>
        </w:tc>
        <w:tc>
          <w:tcPr>
            <w:tcW w:w="8340" w:type="dxa"/>
            <w:vAlign w:val="bottom"/>
            <w:gridSpan w:val="9"/>
          </w:tcPr>
          <w:p>
            <w:pPr>
              <w:ind w:left="40"/>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Sales of Equity Securities and Use of Proceeds</w:t>
              </w:r>
            </w:hyperlink>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w:anchor="page85">
              <w:r>
                <w:rPr>
                  <w:rFonts w:ascii="Arial" w:cs="Arial" w:eastAsia="Arial" w:hAnsi="Arial"/>
                  <w:sz w:val="18"/>
                  <w:szCs w:val="18"/>
                  <w:color w:val="0000FF"/>
                  <w:w w:val="91"/>
                </w:rPr>
                <w:t>Exhibits</w:t>
              </w:r>
            </w:hyperlink>
          </w:p>
        </w:tc>
        <w:tc>
          <w:tcPr>
            <w:tcW w:w="3740" w:type="dxa"/>
            <w:vAlign w:val="bottom"/>
            <w:tcBorders>
              <w:top w:val="single" w:sz="8" w:color="0000FF"/>
            </w:tcBorders>
            <w:gridSpan w:val="9"/>
          </w:tcPr>
          <w:p>
            <w:pPr>
              <w:spacing w:after="0"/>
              <w:rPr>
                <w:sz w:val="15"/>
                <w:szCs w:val="15"/>
                <w:color w:val="auto"/>
              </w:rPr>
            </w:pPr>
          </w:p>
        </w:tc>
        <w:tc>
          <w:tcPr>
            <w:tcW w:w="4920" w:type="dxa"/>
            <w:vAlign w:val="bottom"/>
            <w:gridSpan w:val="2"/>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2"/>
          </w:tcPr>
          <w:p>
            <w:pPr>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Signatures</w:t>
              </w:r>
            </w:hyperlink>
          </w:p>
        </w:tc>
        <w:tc>
          <w:tcPr>
            <w:tcW w:w="6460" w:type="dxa"/>
            <w:vAlign w:val="bottom"/>
            <w:gridSpan w:val="11"/>
            <w:vMerge w:val="restart"/>
          </w:tcPr>
          <w:p>
            <w:pPr>
              <w:ind w:left="4540"/>
              <w:spacing w:after="0"/>
              <w:rPr>
                <w:sz w:val="20"/>
                <w:szCs w:val="20"/>
                <w:color w:val="auto"/>
              </w:rPr>
            </w:pPr>
            <w:r>
              <w:rPr>
                <w:rFonts w:ascii="Arial" w:cs="Arial" w:eastAsia="Arial" w:hAnsi="Arial"/>
                <w:sz w:val="18"/>
                <w:szCs w:val="18"/>
                <w:color w:val="auto"/>
              </w:rPr>
              <w:t>2</w:t>
            </w:r>
          </w:p>
        </w:tc>
        <w:tc>
          <w:tcPr>
            <w:tcW w:w="280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1"/>
            <w:vMerge w:val="continue"/>
          </w:tcPr>
          <w:p>
            <w:pPr>
              <w:spacing w:after="0"/>
              <w:rPr>
                <w:sz w:val="24"/>
                <w:szCs w:val="24"/>
                <w:color w:val="auto"/>
              </w:rPr>
            </w:pP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580" w:type="dxa"/>
            <w:vAlign w:val="bottom"/>
            <w:gridSpan w:val="9"/>
            <w:vMerge w:val="restart"/>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9"/>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0000EE"/>
            </w:tcBorders>
          </w:tcPr>
          <w:p>
            <w:pPr>
              <w:spacing w:after="0"/>
              <w:rPr>
                <w:sz w:val="24"/>
                <w:szCs w:val="24"/>
                <w:color w:val="auto"/>
              </w:rPr>
            </w:pPr>
          </w:p>
        </w:tc>
        <w:tc>
          <w:tcPr>
            <w:tcW w:w="614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June 30, 2022 and December 31, 2021</w:t>
              </w:r>
            </w:hyperlink>
          </w:p>
        </w:tc>
        <w:tc>
          <w:tcPr>
            <w:tcW w:w="20" w:type="dxa"/>
            <w:vAlign w:val="bottom"/>
            <w:tcBorders>
              <w:bottom w:val="single" w:sz="8" w:color="0000EE"/>
            </w:tcBorders>
          </w:tcPr>
          <w:p>
            <w:pPr>
              <w:spacing w:after="0"/>
              <w:rPr>
                <w:sz w:val="24"/>
                <w:szCs w:val="24"/>
                <w:color w:val="auto"/>
              </w:rPr>
            </w:pPr>
          </w:p>
        </w:tc>
        <w:tc>
          <w:tcPr>
            <w:tcW w:w="44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60" w:type="dxa"/>
            <w:vAlign w:val="bottom"/>
            <w:gridSpan w:val="3"/>
          </w:tcPr>
          <w:p>
            <w:pPr>
              <w:spacing w:after="0" w:line="182"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Operations for the three and six months ended</w:t>
              </w:r>
            </w:hyperlink>
          </w:p>
        </w:tc>
        <w:tc>
          <w:tcPr>
            <w:tcW w:w="4420" w:type="dxa"/>
            <w:vAlign w:val="bottom"/>
            <w:gridSpan w:val="6"/>
          </w:tcPr>
          <w:p>
            <w:pPr>
              <w:ind w:left="80"/>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June 30, 2022 and 2021</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7960" w:type="dxa"/>
            <w:vAlign w:val="bottom"/>
            <w:tcBorders>
              <w:top w:val="single" w:sz="8" w:color="0000FF"/>
            </w:tcBorders>
            <w:gridSpan w:val="6"/>
          </w:tcPr>
          <w:p>
            <w:pPr>
              <w:spacing w:after="0" w:line="182"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Comprehensive Loss for the three and six months ended June 30, 2022</w:t>
              </w:r>
            </w:hyperlink>
          </w:p>
        </w:tc>
        <w:tc>
          <w:tcPr>
            <w:tcW w:w="2620" w:type="dxa"/>
            <w:vAlign w:val="bottom"/>
            <w:gridSpan w:val="3"/>
          </w:tcPr>
          <w:p>
            <w:pPr>
              <w:ind w:left="60"/>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and 2021</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73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Cash Flows for the six months ended June 30, 2022 and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13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20" w:type="dxa"/>
            <w:vAlign w:val="bottom"/>
            <w:gridSpan w:val="5"/>
          </w:tcPr>
          <w:p>
            <w:pPr>
              <w:spacing w:after="0" w:line="182"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Shareholders’ Equity for the three and six months ended June</w:t>
              </w:r>
            </w:hyperlink>
          </w:p>
        </w:tc>
        <w:tc>
          <w:tcPr>
            <w:tcW w:w="3260" w:type="dxa"/>
            <w:vAlign w:val="bottom"/>
            <w:gridSpan w:val="4"/>
          </w:tcPr>
          <w:p>
            <w:pPr>
              <w:ind w:left="20"/>
              <w:spacing w:after="0" w:line="182" w:lineRule="exact"/>
              <w:rPr>
                <w:rFonts w:ascii="Arial" w:cs="Arial" w:eastAsia="Arial" w:hAnsi="Arial"/>
                <w:sz w:val="18"/>
                <w:szCs w:val="18"/>
                <w:color w:val="0000FF"/>
              </w:rPr>
            </w:pPr>
            <w:hyperlink w:anchor="page8">
              <w:r>
                <w:rPr>
                  <w:rFonts w:ascii="Arial" w:cs="Arial" w:eastAsia="Arial" w:hAnsi="Arial"/>
                  <w:sz w:val="18"/>
                  <w:szCs w:val="18"/>
                  <w:color w:val="0000FF"/>
                </w:rPr>
                <w:t>30, 2022 and 2021</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0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4700" w:type="dxa"/>
            <w:vAlign w:val="bottom"/>
            <w:tcBorders>
              <w:top w:val="single" w:sz="8" w:color="0000FF"/>
            </w:tcBorders>
            <w:gridSpan w:val="7"/>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55"/>
        </w:trPr>
        <w:tc>
          <w:tcPr>
            <w:tcW w:w="6160" w:type="dxa"/>
            <w:vAlign w:val="bottom"/>
            <w:gridSpan w:val="3"/>
          </w:tcPr>
          <w:p>
            <w:pPr>
              <w:jc w:val="right"/>
              <w:ind w:right="5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110,112</w:t>
            </w:r>
          </w:p>
        </w:tc>
        <w:tc>
          <w:tcPr>
            <w:tcW w:w="3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189,711</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 net of allowance for credit losses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122,440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110,050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Financing receivables, net of allowance for credit losses</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127,173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141,049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consideration receivables, net of allowance for credit losses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43,040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44,218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33,422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26,924</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14,418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11,802</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Film assets, net of accumulated amortization</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6,026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4,241</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 net of accumulated depreciation</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252,309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260,353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Investment in equity securities</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16,986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17,799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 assets, net of valuation allowance</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13,958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13,906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39,027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39,027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intangible assets, net of accumulated amortization</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21,821</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23,080</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801,824</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883,247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19,849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15,943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and other liabilities</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105,776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111,896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75,951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81,281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Revolving credit facility borrowings, net of unamortized debt issuance costs</w:t>
            </w:r>
          </w:p>
        </w:tc>
        <w:tc>
          <w:tcPr>
            <w:tcW w:w="320" w:type="dxa"/>
            <w:vAlign w:val="bottom"/>
          </w:tcPr>
          <w:p>
            <w:pPr>
              <w:spacing w:after="0"/>
              <w:rPr>
                <w:sz w:val="17"/>
                <w:szCs w:val="17"/>
                <w:color w:val="auto"/>
              </w:rPr>
            </w:pPr>
          </w:p>
        </w:tc>
        <w:tc>
          <w:tcPr>
            <w:tcW w:w="15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2,472</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notes, net of unamortized discounts and debt issuance costs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224,379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223,641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 liabilities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17,642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17,642</w:t>
            </w:r>
          </w:p>
        </w:tc>
        <w:tc>
          <w:tcPr>
            <w:tcW w:w="10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443,597</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452,875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(see Note 8)</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Non-controlling interests</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742</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Shareholders' equity</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 stock common shares — no par value. Authorized — unlimited number.</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7"/>
              </w:rPr>
              <w:t>56,095,372 issued and outstanding (December 31, 2021 — 58,653,642 issued and outstanding)</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391,107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409,979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equity</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174,668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174,620</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Statutory surplus reserve</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3,932</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7"/>
                <w:szCs w:val="17"/>
                <w:color w:val="auto"/>
              </w:rPr>
            </w:pPr>
          </w:p>
        </w:tc>
        <w:tc>
          <w:tcPr>
            <w:tcW w:w="1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(272,022 )</w:t>
            </w:r>
          </w:p>
        </w:tc>
        <w:tc>
          <w:tcPr>
            <w:tcW w:w="2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(234,975 )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3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(6,755 )</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2,527</w:t>
            </w:r>
          </w:p>
        </w:tc>
        <w:tc>
          <w:tcPr>
            <w:tcW w:w="100" w:type="dxa"/>
            <w:vAlign w:val="bottom"/>
            <w:shd w:val="clear" w:color="auto" w:fill="CFF0FC"/>
          </w:tcPr>
          <w:p>
            <w:pPr>
              <w:spacing w:after="0"/>
              <w:rPr>
                <w:sz w:val="17"/>
                <w:szCs w:val="17"/>
                <w:color w:val="auto"/>
              </w:rPr>
            </w:pP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Total shareholders' equity attributable to common shareholders</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290,930</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356,083</w:t>
            </w:r>
          </w:p>
        </w:tc>
        <w:tc>
          <w:tcPr>
            <w:tcW w:w="100" w:type="dxa"/>
            <w:vAlign w:val="bottom"/>
            <w:tcBorders>
              <w:top w:val="single" w:sz="8" w:color="CFF0FC"/>
            </w:tcBorders>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66,555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73,531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357,485</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429,614</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801,824</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883,247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-2802255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-2785110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-1736725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-1736725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-1470660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-1470660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-561975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-296545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5"/>
                <w:szCs w:val="15"/>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Technology sales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8,229</w:t>
            </w:r>
          </w:p>
        </w:tc>
        <w:tc>
          <w:tcPr>
            <w:tcW w:w="28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15,173</w:t>
            </w:r>
          </w:p>
        </w:tc>
        <w:tc>
          <w:tcPr>
            <w:tcW w:w="260" w:type="dxa"/>
            <w:vAlign w:val="bottom"/>
          </w:tcPr>
          <w:p>
            <w:pPr>
              <w:spacing w:after="0"/>
              <w:rPr>
                <w:sz w:val="17"/>
                <w:szCs w:val="17"/>
                <w:color w:val="auto"/>
              </w:rPr>
            </w:pP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17,205</w:t>
            </w:r>
          </w:p>
        </w:tc>
        <w:tc>
          <w:tcPr>
            <w:tcW w:w="240" w:type="dxa"/>
            <w:vAlign w:val="bottom"/>
          </w:tcPr>
          <w:p>
            <w:pPr>
              <w:spacing w:after="0"/>
              <w:rPr>
                <w:sz w:val="17"/>
                <w:szCs w:val="17"/>
                <w:color w:val="auto"/>
              </w:rPr>
            </w:pP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21,348</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Image enhancement and maintenance services</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44,958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24,711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81,052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46,326</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Technology rentals</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18,525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31,186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16,489</w:t>
            </w:r>
          </w:p>
        </w:tc>
        <w:tc>
          <w:tcPr>
            <w:tcW w:w="100" w:type="dxa"/>
            <w:vAlign w:val="bottom"/>
          </w:tcPr>
          <w:p>
            <w:pPr>
              <w:spacing w:after="0"/>
              <w:rPr>
                <w:sz w:val="17"/>
                <w:szCs w:val="17"/>
                <w:color w:val="auto"/>
              </w:rPr>
            </w:pPr>
          </w:p>
        </w:tc>
      </w:tr>
      <w:tr>
        <w:trPr>
          <w:trHeight w:val="203"/>
        </w:trPr>
        <w:tc>
          <w:tcPr>
            <w:tcW w:w="5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income</w:t>
            </w:r>
          </w:p>
        </w:tc>
        <w:tc>
          <w:tcPr>
            <w:tcW w:w="3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2,256</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2,941</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4,561</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73,968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50,955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134,004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89,709</w:t>
            </w:r>
          </w:p>
        </w:tc>
        <w:tc>
          <w:tcPr>
            <w:tcW w:w="100" w:type="dxa"/>
            <w:vAlign w:val="bottom"/>
          </w:tcPr>
          <w:p>
            <w:pPr>
              <w:spacing w:after="0"/>
              <w:rPr>
                <w:sz w:val="17"/>
                <w:szCs w:val="17"/>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Costs and expenses applicable to revenues</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Technology sales</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4,218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6,496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11,549</w:t>
            </w:r>
          </w:p>
        </w:tc>
        <w:tc>
          <w:tcPr>
            <w:tcW w:w="100" w:type="dxa"/>
            <w:vAlign w:val="bottom"/>
          </w:tcPr>
          <w:p>
            <w:pPr>
              <w:spacing w:after="0"/>
              <w:rPr>
                <w:sz w:val="17"/>
                <w:szCs w:val="17"/>
                <w:color w:val="auto"/>
              </w:rPr>
            </w:pPr>
          </w:p>
        </w:tc>
      </w:tr>
      <w:tr>
        <w:trPr>
          <w:trHeight w:val="202"/>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Image enhancement and maintenance services</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19,953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12,357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35,696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22,121</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Technology rentals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6,499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13,155</w:t>
            </w:r>
          </w:p>
        </w:tc>
        <w:tc>
          <w:tcPr>
            <w:tcW w:w="100" w:type="dxa"/>
            <w:vAlign w:val="bottom"/>
          </w:tcPr>
          <w:p>
            <w:pPr>
              <w:spacing w:after="0"/>
              <w:rPr>
                <w:sz w:val="17"/>
                <w:szCs w:val="17"/>
                <w:color w:val="auto"/>
              </w:rPr>
            </w:pPr>
          </w:p>
        </w:tc>
      </w:tr>
      <w:tr>
        <w:trPr>
          <w:trHeight w:val="196"/>
        </w:trPr>
        <w:tc>
          <w:tcPr>
            <w:tcW w:w="5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29,932</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25,352</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58,197</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46,825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Gross margin</w:t>
            </w: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44,036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25,603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75,807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42,884</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37,095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28,807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67,276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54,016</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1,356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3,671</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2,331</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Credit loss expense (reversal), net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(1,872 )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7,341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(1,567 )</w:t>
            </w: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Asset impairments (see Note 16(e))</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Legal judgment and arbitration awards (see Note 8)</w:t>
            </w:r>
          </w:p>
        </w:tc>
        <w:tc>
          <w:tcPr>
            <w:tcW w:w="300" w:type="dxa"/>
            <w:vAlign w:val="bottom"/>
          </w:tcPr>
          <w:p>
            <w:pPr>
              <w:spacing w:after="0"/>
              <w:rPr>
                <w:sz w:val="17"/>
                <w:szCs w:val="17"/>
                <w:color w:val="auto"/>
              </w:rPr>
            </w:pPr>
          </w:p>
        </w:tc>
        <w:tc>
          <w:tcPr>
            <w:tcW w:w="10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(1,770 )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(1,770 )</w:t>
            </w:r>
          </w:p>
        </w:tc>
      </w:tr>
      <w:tr>
        <w:trPr>
          <w:trHeight w:val="196"/>
        </w:trPr>
        <w:tc>
          <w:tcPr>
            <w:tcW w:w="5600" w:type="dxa"/>
            <w:vAlign w:val="bottom"/>
            <w:tcBorders>
              <w:top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(101</w:t>
            </w:r>
          </w:p>
        </w:tc>
        <w:tc>
          <w:tcPr>
            <w:tcW w:w="280" w:type="dxa"/>
            <w:vAlign w:val="bottom"/>
            <w:tcBorders>
              <w:top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(2,952</w:t>
            </w:r>
          </w:p>
        </w:tc>
        <w:tc>
          <w:tcPr>
            <w:tcW w:w="260" w:type="dxa"/>
            <w:vAlign w:val="bottom"/>
            <w:tcBorders>
              <w:top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(8,133</w:t>
            </w:r>
          </w:p>
        </w:tc>
        <w:tc>
          <w:tcPr>
            <w:tcW w:w="240" w:type="dxa"/>
            <w:vAlign w:val="bottom"/>
            <w:tcBorders>
              <w:top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(13,797</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Realized and unrealized investment gains</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5,281</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Retirement benefits non-service expense</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(138 )</w:t>
            </w: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(116 )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(277 )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(230 )</w:t>
            </w: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1,142</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(1,326 )</w:t>
            </w: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(1,690 )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(3,031 )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(3,994 )</w:t>
            </w:r>
          </w:p>
        </w:tc>
      </w:tr>
      <w:tr>
        <w:trPr>
          <w:trHeight w:val="20"/>
        </w:trPr>
        <w:tc>
          <w:tcPr>
            <w:tcW w:w="5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Loss before taxes</w:t>
            </w:r>
          </w:p>
        </w:tc>
        <w:tc>
          <w:tcPr>
            <w:tcW w:w="300" w:type="dxa"/>
            <w:vAlign w:val="bottom"/>
          </w:tcPr>
          <w:p>
            <w:pPr>
              <w:spacing w:after="0"/>
              <w:rPr>
                <w:sz w:val="17"/>
                <w:szCs w:val="17"/>
                <w:color w:val="auto"/>
              </w:rPr>
            </w:pPr>
          </w:p>
        </w:tc>
        <w:tc>
          <w:tcPr>
            <w:tcW w:w="108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(1,118 )</w:t>
            </w:r>
          </w:p>
        </w:tc>
        <w:tc>
          <w:tcPr>
            <w:tcW w:w="340" w:type="dxa"/>
            <w:vAlign w:val="bottom"/>
          </w:tcPr>
          <w:p>
            <w:pPr>
              <w:spacing w:after="0"/>
              <w:rPr>
                <w:sz w:val="17"/>
                <w:szCs w:val="17"/>
                <w:color w:val="auto"/>
              </w:rPr>
            </w:pPr>
          </w:p>
        </w:tc>
        <w:tc>
          <w:tcPr>
            <w:tcW w:w="1160" w:type="dxa"/>
            <w:vAlign w:val="bottom"/>
            <w:gridSpan w:val="2"/>
          </w:tcPr>
          <w:p>
            <w:pPr>
              <w:jc w:val="right"/>
              <w:ind w:right="90"/>
              <w:spacing w:after="0" w:line="196" w:lineRule="exact"/>
              <w:rPr>
                <w:sz w:val="20"/>
                <w:szCs w:val="20"/>
                <w:color w:val="auto"/>
              </w:rPr>
            </w:pPr>
            <w:r>
              <w:rPr>
                <w:rFonts w:ascii="Arial" w:cs="Arial" w:eastAsia="Arial" w:hAnsi="Arial"/>
                <w:sz w:val="18"/>
                <w:szCs w:val="18"/>
                <w:b w:val="1"/>
                <w:bCs w:val="1"/>
                <w:color w:val="auto"/>
              </w:rPr>
              <w:t>(4,166 )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(10,458 )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(11,598 )</w:t>
            </w: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(3,133 )</w:t>
            </w: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(1,946 )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(5,743 )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(5,014 )</w:t>
            </w:r>
          </w:p>
        </w:tc>
      </w:tr>
      <w:tr>
        <w:trPr>
          <w:trHeight w:val="20"/>
        </w:trPr>
        <w:tc>
          <w:tcPr>
            <w:tcW w:w="5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7"/>
                <w:szCs w:val="17"/>
                <w:color w:val="auto"/>
              </w:rPr>
            </w:pPr>
          </w:p>
        </w:tc>
        <w:tc>
          <w:tcPr>
            <w:tcW w:w="108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(4,251 )</w:t>
            </w:r>
          </w:p>
        </w:tc>
        <w:tc>
          <w:tcPr>
            <w:tcW w:w="340" w:type="dxa"/>
            <w:vAlign w:val="bottom"/>
          </w:tcPr>
          <w:p>
            <w:pPr>
              <w:spacing w:after="0"/>
              <w:rPr>
                <w:sz w:val="17"/>
                <w:szCs w:val="17"/>
                <w:color w:val="auto"/>
              </w:rPr>
            </w:pPr>
          </w:p>
        </w:tc>
        <w:tc>
          <w:tcPr>
            <w:tcW w:w="1160" w:type="dxa"/>
            <w:vAlign w:val="bottom"/>
            <w:gridSpan w:val="2"/>
          </w:tcPr>
          <w:p>
            <w:pPr>
              <w:jc w:val="right"/>
              <w:ind w:right="90"/>
              <w:spacing w:after="0" w:line="196" w:lineRule="exact"/>
              <w:rPr>
                <w:sz w:val="20"/>
                <w:szCs w:val="20"/>
                <w:color w:val="auto"/>
              </w:rPr>
            </w:pPr>
            <w:r>
              <w:rPr>
                <w:rFonts w:ascii="Arial" w:cs="Arial" w:eastAsia="Arial" w:hAnsi="Arial"/>
                <w:sz w:val="18"/>
                <w:szCs w:val="18"/>
                <w:b w:val="1"/>
                <w:bCs w:val="1"/>
                <w:color w:val="auto"/>
              </w:rPr>
              <w:t>(6,112 )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(16,201 )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(16,612 )</w:t>
            </w: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net loss (income) attributable to non-controlling interests</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(3,099 )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(259 )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(7,439 )</w:t>
            </w:r>
          </w:p>
        </w:tc>
      </w:tr>
      <w:tr>
        <w:trPr>
          <w:trHeight w:val="20"/>
        </w:trPr>
        <w:tc>
          <w:tcPr>
            <w:tcW w:w="5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 attributable to common shareholders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(2,851 )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90"/>
              <w:spacing w:after="0" w:line="196" w:lineRule="exact"/>
              <w:rPr>
                <w:sz w:val="20"/>
                <w:szCs w:val="20"/>
                <w:color w:val="auto"/>
              </w:rPr>
            </w:pPr>
            <w:r>
              <w:rPr>
                <w:rFonts w:ascii="Arial" w:cs="Arial" w:eastAsia="Arial" w:hAnsi="Arial"/>
                <w:sz w:val="18"/>
                <w:szCs w:val="18"/>
                <w:b w:val="1"/>
                <w:bCs w:val="1"/>
                <w:color w:val="auto"/>
              </w:rPr>
              <w:t>(9,211 )</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(16,460 )</w:t>
            </w:r>
          </w:p>
        </w:tc>
        <w:tc>
          <w:tcPr>
            <w:tcW w:w="48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(24,051 )</w:t>
            </w:r>
          </w:p>
        </w:tc>
      </w:tr>
      <w:tr>
        <w:trPr>
          <w:trHeight w:val="20"/>
        </w:trPr>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9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w w:val="90"/>
              </w:rPr>
              <w:t>Net loss per share attributable to common shareholders - basic and diluted:</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 — basic and diluted</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(0.05 )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(0.16 )</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(0.28 )</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(0.41 )</w:t>
            </w:r>
          </w:p>
        </w:tc>
      </w:tr>
      <w:tr>
        <w:trPr>
          <w:trHeight w:val="20"/>
        </w:trPr>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-3459480</wp:posOffset>
            </wp:positionV>
            <wp:extent cx="7747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-3459480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-3459480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-3459480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-2662555</wp:posOffset>
            </wp:positionV>
            <wp:extent cx="7747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-2662555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-2662555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-1756410</wp:posOffset>
            </wp:positionV>
            <wp:extent cx="7747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-1756410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-1756410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-1102360</wp:posOffset>
            </wp:positionV>
            <wp:extent cx="7747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-1102360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-1102360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-1102360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-836295</wp:posOffset>
            </wp:positionV>
            <wp:extent cx="7747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-836295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-836295</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-836295</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-570865</wp:posOffset>
            </wp:positionV>
            <wp:extent cx="774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-570865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-570865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(4,251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FF0FC"/>
          </w:tcPr>
          <w:p>
            <w:pPr>
              <w:jc w:val="right"/>
              <w:ind w:right="576"/>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0"/>
              </w:rPr>
              <w:t>(6,112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(16,201</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(16,612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comprehensive (loss) income, before tax</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net (loss) gain from cash flow hedging instruments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(610 )</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(295 )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Realized net loss (gain) from cash flow hedging instruments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(1,055 )</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9"/>
              </w:rPr>
              <w:t>Reclassification of unrealized gain from ineffective cash flow hedging</w:t>
            </w:r>
          </w:p>
        </w:tc>
        <w:tc>
          <w:tcPr>
            <w:tcW w:w="28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(271 )</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instruments</w:t>
            </w:r>
          </w:p>
        </w:tc>
        <w:tc>
          <w:tcPr>
            <w:tcW w:w="28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7"/>
                <w:szCs w:val="17"/>
                <w:color w:val="auto"/>
              </w:rPr>
            </w:pP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(13,521 )</w:t>
            </w:r>
          </w:p>
        </w:tc>
        <w:tc>
          <w:tcPr>
            <w:tcW w:w="7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2,960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(12,941 )</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Defined benefit and postretirement benefit plans</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Total other comprehensive (loss) income, before tax</w:t>
            </w:r>
          </w:p>
        </w:tc>
        <w:tc>
          <w:tcPr>
            <w:tcW w:w="2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(14,019</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(13,049</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 related to other comprehensive (loss) income</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17"/>
                <w:szCs w:val="17"/>
                <w:color w:val="auto"/>
              </w:rPr>
            </w:pP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(13,889 )</w:t>
            </w:r>
          </w:p>
        </w:tc>
        <w:tc>
          <w:tcPr>
            <w:tcW w:w="7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(13,021 )</w:t>
            </w:r>
          </w:p>
        </w:tc>
        <w:tc>
          <w:tcPr>
            <w:tcW w:w="3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(18,140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0"/>
              </w:rPr>
              <w:t>(3,700</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(29,222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(16,300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Comprehensive loss (income) attributable to non-controlling interests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5,306</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86"/>
              </w:rPr>
              <w:t>(3,990 )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3,480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(7,677 )</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loss attributable to common shareholders</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(12,834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jc w:val="right"/>
              <w:ind w:right="576"/>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0"/>
              </w:rPr>
              <w:t>(7,690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(25,742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(23,977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-561975</wp:posOffset>
            </wp:positionV>
            <wp:extent cx="768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-561975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-561975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6"/>
                <w:szCs w:val="16"/>
                <w:color w:val="auto"/>
              </w:rPr>
            </w:pPr>
          </w:p>
        </w:tc>
      </w:tr>
      <w:tr>
        <w:trPr>
          <w:trHeight w:val="188"/>
        </w:trPr>
        <w:tc>
          <w:tcPr>
            <w:tcW w:w="75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r>
      <w:tr>
        <w:trPr>
          <w:trHeight w:val="183"/>
        </w:trPr>
        <w:tc>
          <w:tcPr>
            <w:tcW w:w="75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2021</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4"/>
              </w:rPr>
              <w:t>(16,201 )</w:t>
            </w:r>
          </w:p>
        </w:tc>
        <w:tc>
          <w:tcPr>
            <w:tcW w:w="70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(16,612 )</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cash used in operating activities: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7"/>
                <w:szCs w:val="17"/>
                <w:color w:val="auto"/>
              </w:rPr>
            </w:pPr>
          </w:p>
        </w:tc>
        <w:tc>
          <w:tcPr>
            <w:tcW w:w="7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27,023</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25,671</w:t>
            </w: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deferred financing costs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1,753</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1,008</w:t>
            </w: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Credit loss expense (reversal), net</w:t>
            </w:r>
          </w:p>
        </w:tc>
        <w:tc>
          <w:tcPr>
            <w:tcW w:w="1020" w:type="dxa"/>
            <w:vAlign w:val="bottom"/>
          </w:tcPr>
          <w:p>
            <w:pPr>
              <w:spacing w:after="0"/>
              <w:rPr>
                <w:sz w:val="17"/>
                <w:szCs w:val="17"/>
                <w:color w:val="auto"/>
              </w:rPr>
            </w:pPr>
          </w:p>
        </w:tc>
        <w:tc>
          <w:tcPr>
            <w:tcW w:w="7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7,341</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(1,567 )</w:t>
            </w: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Write-downs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5,432</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462</w:t>
            </w: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 (benefit) expense</w:t>
            </w:r>
          </w:p>
        </w:tc>
        <w:tc>
          <w:tcPr>
            <w:tcW w:w="10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(300 )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and other non-cash compensation</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13,966</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12,332</w:t>
            </w: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Unrealized foreign currency exchange loss (gain)</w:t>
            </w:r>
          </w:p>
        </w:tc>
        <w:tc>
          <w:tcPr>
            <w:tcW w:w="1020" w:type="dxa"/>
            <w:vAlign w:val="bottom"/>
          </w:tcPr>
          <w:p>
            <w:pPr>
              <w:spacing w:after="0"/>
              <w:rPr>
                <w:sz w:val="17"/>
                <w:szCs w:val="17"/>
                <w:color w:val="auto"/>
              </w:rPr>
            </w:pPr>
          </w:p>
        </w:tc>
        <w:tc>
          <w:tcPr>
            <w:tcW w:w="7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841</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(490 )</w:t>
            </w: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Realized and unrealized investment gains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(5,281 )</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(14,745 )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(11,049 )</w:t>
            </w: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(6,949 )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1,867</w:t>
            </w: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Film assets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(10,420 )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(5,808 )</w:t>
            </w: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(5,291 )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(447 )</w:t>
            </w: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other operating assets and liabilities</w:t>
            </w:r>
          </w:p>
        </w:tc>
        <w:tc>
          <w:tcPr>
            <w:tcW w:w="10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(7,679 )</w:t>
            </w:r>
          </w:p>
        </w:tc>
        <w:tc>
          <w:tcPr>
            <w:tcW w:w="14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(17,135 )</w:t>
            </w:r>
          </w:p>
        </w:tc>
      </w:tr>
      <w:tr>
        <w:trPr>
          <w:trHeight w:val="183"/>
        </w:trPr>
        <w:tc>
          <w:tcPr>
            <w:tcW w:w="7560" w:type="dxa"/>
            <w:vAlign w:val="bottom"/>
          </w:tcPr>
          <w:p>
            <w:pPr>
              <w:ind w:left="200"/>
              <w:spacing w:after="0" w:line="182" w:lineRule="exact"/>
              <w:rPr>
                <w:sz w:val="20"/>
                <w:szCs w:val="20"/>
                <w:color w:val="auto"/>
              </w:rPr>
            </w:pPr>
            <w:r>
              <w:rPr>
                <w:rFonts w:ascii="Arial" w:cs="Arial" w:eastAsia="Arial" w:hAnsi="Arial"/>
                <w:sz w:val="18"/>
                <w:szCs w:val="18"/>
                <w:b w:val="1"/>
                <w:bCs w:val="1"/>
                <w:color w:val="auto"/>
              </w:rPr>
              <w:t>Net cash used in operating activities</w:t>
            </w: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(5,293 )</w:t>
            </w: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(17,016 )</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Investing Activities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Purchase of property, plant and equipment</w:t>
            </w:r>
          </w:p>
        </w:tc>
        <w:tc>
          <w:tcPr>
            <w:tcW w:w="10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(2,934 )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(1,365 )</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in equipment for joint revenue sharing arrangements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(8,651 )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(2,397 )</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Interest in film classified as a financial instrument</w:t>
            </w:r>
          </w:p>
        </w:tc>
        <w:tc>
          <w:tcPr>
            <w:tcW w:w="10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(4,731 )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of other intangible assets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(1,680 )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(2,631 )</w:t>
            </w:r>
          </w:p>
        </w:tc>
      </w:tr>
      <w:tr>
        <w:trPr>
          <w:trHeight w:val="203"/>
        </w:trPr>
        <w:tc>
          <w:tcPr>
            <w:tcW w:w="7560" w:type="dxa"/>
            <w:vAlign w:val="bottom"/>
            <w:tcBorders>
              <w:bottom w:val="single" w:sz="8" w:color="CFF0FC"/>
            </w:tcBorders>
          </w:tcPr>
          <w:p>
            <w:pPr>
              <w:ind w:left="20"/>
              <w:spacing w:after="0" w:line="202" w:lineRule="exact"/>
              <w:rPr>
                <w:sz w:val="20"/>
                <w:szCs w:val="20"/>
                <w:color w:val="auto"/>
              </w:rPr>
            </w:pPr>
            <w:r>
              <w:rPr>
                <w:rFonts w:ascii="Arial" w:cs="Arial" w:eastAsia="Arial" w:hAnsi="Arial"/>
                <w:sz w:val="18"/>
                <w:szCs w:val="18"/>
                <w:color w:val="auto"/>
              </w:rPr>
              <w:t>Proceeds from sale of equity securities</w:t>
            </w: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17,769</w:t>
            </w:r>
          </w:p>
        </w:tc>
      </w:tr>
      <w:tr>
        <w:trPr>
          <w:trHeight w:val="183"/>
        </w:trPr>
        <w:tc>
          <w:tcPr>
            <w:tcW w:w="75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b w:val="1"/>
                <w:bCs w:val="1"/>
                <w:color w:val="auto"/>
              </w:rPr>
              <w:t>Net cash (used in) provided by investing activities</w:t>
            </w:r>
          </w:p>
        </w:tc>
        <w:tc>
          <w:tcPr>
            <w:tcW w:w="10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4"/>
              </w:rPr>
              <w:t>(17,996 )</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rPr>
              <w:t>11,376</w:t>
            </w: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issuance of convertible notes, net</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223,675</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Debt issuance costs related to convertible notes</w:t>
            </w:r>
          </w:p>
        </w:tc>
        <w:tc>
          <w:tcPr>
            <w:tcW w:w="1020" w:type="dxa"/>
            <w:vAlign w:val="bottom"/>
          </w:tcPr>
          <w:p>
            <w:pPr>
              <w:spacing w:after="0"/>
              <w:rPr>
                <w:sz w:val="17"/>
                <w:szCs w:val="17"/>
                <w:color w:val="auto"/>
              </w:rPr>
            </w:pPr>
          </w:p>
        </w:tc>
        <w:tc>
          <w:tcPr>
            <w:tcW w:w="7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(242 )</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of capped calls related to convertible notes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(19,067 )</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Revolving credit facility borrowings</w:t>
            </w:r>
          </w:p>
        </w:tc>
        <w:tc>
          <w:tcPr>
            <w:tcW w:w="1020" w:type="dxa"/>
            <w:vAlign w:val="bottom"/>
          </w:tcPr>
          <w:p>
            <w:pPr>
              <w:spacing w:after="0"/>
              <w:rPr>
                <w:sz w:val="17"/>
                <w:szCs w:val="17"/>
                <w:color w:val="auto"/>
              </w:rPr>
            </w:pPr>
          </w:p>
        </w:tc>
        <w:tc>
          <w:tcPr>
            <w:tcW w:w="7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3,600</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Repayments of revolving credit facility borrowings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(300,243 )</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Credit facility amendment fees paid</w:t>
            </w:r>
          </w:p>
        </w:tc>
        <w:tc>
          <w:tcPr>
            <w:tcW w:w="10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(2,028 )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(32 )</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Repurchase of common shares, IMAX Corporation</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(49,355 )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Repurchase of common shares, IMAX China</w:t>
            </w:r>
          </w:p>
        </w:tc>
        <w:tc>
          <w:tcPr>
            <w:tcW w:w="10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(1,844 )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Taxes withheld and paid on employee stock awards vested</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(3,393 )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(3,045 )</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Common shares issued - stock options exercised</w:t>
            </w:r>
          </w:p>
        </w:tc>
        <w:tc>
          <w:tcPr>
            <w:tcW w:w="1020" w:type="dxa"/>
            <w:vAlign w:val="bottom"/>
          </w:tcPr>
          <w:p>
            <w:pPr>
              <w:spacing w:after="0"/>
              <w:rPr>
                <w:sz w:val="17"/>
                <w:szCs w:val="17"/>
                <w:color w:val="auto"/>
              </w:rPr>
            </w:pPr>
          </w:p>
        </w:tc>
        <w:tc>
          <w:tcPr>
            <w:tcW w:w="7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883</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Principal payment under finance lease obligations</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(890 )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Dividends paid to non-controlling interests</w:t>
            </w: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(2,099 )</w:t>
            </w:r>
          </w:p>
        </w:tc>
      </w:tr>
      <w:tr>
        <w:trPr>
          <w:trHeight w:val="196"/>
        </w:trPr>
        <w:tc>
          <w:tcPr>
            <w:tcW w:w="7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Net cash used in financing activities</w:t>
            </w:r>
          </w:p>
        </w:tc>
        <w:tc>
          <w:tcPr>
            <w:tcW w:w="10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4"/>
              </w:rPr>
              <w:t>(57,510 )</w:t>
            </w:r>
          </w:p>
        </w:tc>
        <w:tc>
          <w:tcPr>
            <w:tcW w:w="1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(96,570 )</w:t>
            </w: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Effects of exchange rate changes on cash and cash equivalents</w:t>
            </w: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1,200</w:t>
            </w: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(1,044 )</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Decrease in cash and cash equivalents during period</w:t>
            </w: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4"/>
              </w:rPr>
              <w:t>(79,599 )</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(103,254 )</w:t>
            </w:r>
          </w:p>
        </w:tc>
      </w:tr>
      <w:tr>
        <w:trPr>
          <w:trHeight w:val="203"/>
        </w:trPr>
        <w:tc>
          <w:tcPr>
            <w:tcW w:w="7560" w:type="dxa"/>
            <w:vAlign w:val="bottom"/>
            <w:tcBorders>
              <w:bottom w:val="single" w:sz="8" w:color="CFF0FC"/>
            </w:tcBorders>
          </w:tcPr>
          <w:p>
            <w:pPr>
              <w:ind w:left="20"/>
              <w:spacing w:after="0" w:line="202" w:lineRule="exact"/>
              <w:rPr>
                <w:sz w:val="20"/>
                <w:szCs w:val="20"/>
                <w:color w:val="auto"/>
              </w:rPr>
            </w:pPr>
            <w:r>
              <w:rPr>
                <w:rFonts w:ascii="Arial" w:cs="Arial" w:eastAsia="Arial" w:hAnsi="Arial"/>
                <w:sz w:val="18"/>
                <w:szCs w:val="18"/>
                <w:b w:val="1"/>
                <w:bCs w:val="1"/>
                <w:color w:val="auto"/>
              </w:rPr>
              <w:t>Cash and cash equivalents, beginning of period</w:t>
            </w: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w w:val="92"/>
              </w:rPr>
              <w:t>189,711</w:t>
            </w:r>
          </w:p>
        </w:tc>
        <w:tc>
          <w:tcPr>
            <w:tcW w:w="14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317,379</w:t>
            </w:r>
          </w:p>
        </w:tc>
      </w:tr>
      <w:tr>
        <w:trPr>
          <w:trHeight w:val="236"/>
        </w:trPr>
        <w:tc>
          <w:tcPr>
            <w:tcW w:w="7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Cash and cash equivalents, end of period</w:t>
            </w:r>
          </w:p>
        </w:tc>
        <w:tc>
          <w:tcPr>
            <w:tcW w:w="1020" w:type="dxa"/>
            <w:vAlign w:val="bottom"/>
            <w:tcBorders>
              <w:bottom w:val="single" w:sz="8" w:color="auto"/>
            </w:tcBorders>
            <w:shd w:val="clear" w:color="auto" w:fill="CFF0FC"/>
          </w:tcPr>
          <w:p>
            <w:pPr>
              <w:jc w:val="right"/>
              <w:ind w:right="836"/>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Arial" w:cs="Arial" w:eastAsia="Arial" w:hAnsi="Arial"/>
                <w:sz w:val="18"/>
                <w:szCs w:val="18"/>
                <w:b w:val="1"/>
                <w:bCs w:val="1"/>
                <w:color w:val="auto"/>
                <w:w w:val="92"/>
              </w:rPr>
              <w:t>110,112</w:t>
            </w:r>
          </w:p>
        </w:tc>
        <w:tc>
          <w:tcPr>
            <w:tcW w:w="1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rPr>
              <w:t>214,125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5915660</wp:posOffset>
            </wp:positionH>
            <wp:positionV relativeFrom="paragraph">
              <wp:posOffset>-3432175</wp:posOffset>
            </wp:positionV>
            <wp:extent cx="1193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3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-2523490</wp:posOffset>
            </wp:positionV>
            <wp:extent cx="1193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3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-561975</wp:posOffset>
            </wp:positionV>
            <wp:extent cx="939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93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93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93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Adjustments to capital stock:</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415,362</w:t>
            </w:r>
          </w:p>
        </w:tc>
        <w:tc>
          <w:tcPr>
            <w:tcW w:w="26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414,982</w:t>
            </w:r>
          </w:p>
        </w:tc>
        <w:tc>
          <w:tcPr>
            <w:tcW w:w="24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409,979</w:t>
            </w:r>
          </w:p>
        </w:tc>
        <w:tc>
          <w:tcPr>
            <w:tcW w:w="24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407,020</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shares held in treasury</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w w:val="94"/>
              </w:rPr>
              <w:t>Employee stock options exercised, net of shares withheld for employee tax obligations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Grant date fair value of stock options exercised</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rPr>
              <w:t>Average carrying value of repurchased and retired common shares</w:t>
            </w:r>
          </w:p>
        </w:tc>
        <w:tc>
          <w:tcPr>
            <w:tcW w:w="26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(25,106 )</w:t>
            </w:r>
          </w:p>
        </w:tc>
        <w:tc>
          <w:tcPr>
            <w:tcW w:w="26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(28,768 )</w:t>
            </w:r>
          </w:p>
        </w:tc>
        <w:tc>
          <w:tcPr>
            <w:tcW w:w="2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Restricted share units vested, net of shares withheld for employee tax obligations</w:t>
            </w: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786</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9,896</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7,671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980" w:type="dxa"/>
            <w:vAlign w:val="bottom"/>
          </w:tcPr>
          <w:p>
            <w:pPr>
              <w:ind w:left="20"/>
              <w:spacing w:after="0" w:line="183" w:lineRule="exact"/>
              <w:rPr>
                <w:sz w:val="20"/>
                <w:szCs w:val="20"/>
                <w:color w:val="auto"/>
              </w:rPr>
            </w:pPr>
            <w:r>
              <w:rPr>
                <w:rFonts w:ascii="Arial" w:cs="Arial" w:eastAsia="Arial" w:hAnsi="Arial"/>
                <w:sz w:val="16"/>
                <w:szCs w:val="16"/>
                <w:color w:val="auto"/>
              </w:rPr>
              <w:t>Balance, end of period</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391,107</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415,849</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391,107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415,849</w:t>
            </w:r>
          </w:p>
        </w:tc>
        <w:tc>
          <w:tcPr>
            <w:tcW w:w="100" w:type="dxa"/>
            <w:vAlign w:val="bottom"/>
          </w:tcPr>
          <w:p>
            <w:pPr>
              <w:spacing w:after="0"/>
              <w:rPr>
                <w:sz w:val="15"/>
                <w:szCs w:val="15"/>
                <w:color w:val="auto"/>
              </w:rPr>
            </w:pPr>
          </w:p>
        </w:tc>
      </w:tr>
      <w:tr>
        <w:trPr>
          <w:trHeight w:val="183"/>
        </w:trPr>
        <w:tc>
          <w:tcPr>
            <w:tcW w:w="5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Adjustments to other equity:</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167,912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164,171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174,620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188,845</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share-based payment expense - stock options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rPr>
              <w:t>Amortization of share-based payment expense - restricted share units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5,862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10,212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share-based payment expense - performance stock units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rPr>
              <w:t>Restricted share units vested</w:t>
            </w:r>
          </w:p>
        </w:tc>
        <w:tc>
          <w:tcPr>
            <w:tcW w:w="26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(1,108 )</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(1,474 )</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(13,708 )</w:t>
            </w:r>
          </w:p>
        </w:tc>
        <w:tc>
          <w:tcPr>
            <w:tcW w:w="2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(11,792 )</w:t>
            </w: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Grant date fair value of stock options exercised</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(271 )</w:t>
            </w: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rPr>
              <w:t>Change in ownership interest related to IMAX China common share repurchases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(543 )</w:t>
            </w:r>
          </w:p>
        </w:tc>
        <w:tc>
          <w:tcPr>
            <w:tcW w:w="2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capped calls related to convertible notes</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(19,067 )</w:t>
            </w:r>
          </w:p>
        </w:tc>
      </w:tr>
      <w:tr>
        <w:trPr>
          <w:trHeight w:val="183"/>
        </w:trPr>
        <w:tc>
          <w:tcPr>
            <w:tcW w:w="59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Balance, end of period</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174,668</w:t>
            </w: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169,050</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174,668</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169,050</w:t>
            </w:r>
          </w:p>
        </w:tc>
        <w:tc>
          <w:tcPr>
            <w:tcW w:w="100" w:type="dxa"/>
            <w:vAlign w:val="bottom"/>
            <w:tcBorders>
              <w:top w:val="single" w:sz="8" w:color="CFF0FC"/>
            </w:tcBorders>
          </w:tcPr>
          <w:p>
            <w:pPr>
              <w:spacing w:after="0"/>
              <w:rPr>
                <w:sz w:val="15"/>
                <w:szCs w:val="15"/>
                <w:color w:val="auto"/>
              </w:rPr>
            </w:pPr>
          </w:p>
        </w:tc>
      </w:tr>
      <w:tr>
        <w:trPr>
          <w:trHeight w:val="183"/>
        </w:trPr>
        <w:tc>
          <w:tcPr>
            <w:tcW w:w="5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Adjustments to statutory surplus reserve:</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69"/>
        </w:trPr>
        <w:tc>
          <w:tcPr>
            <w:tcW w:w="5980" w:type="dxa"/>
            <w:vAlign w:val="bottom"/>
            <w:tcBorders>
              <w:top w:val="single" w:sz="8" w:color="CFF0FC"/>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Balance, end of period</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3,932</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3,932</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83"/>
        </w:trPr>
        <w:tc>
          <w:tcPr>
            <w:tcW w:w="59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Adjustments to accumulated deficit: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(251,194 )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(217,689 )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(234,975 )</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(202,849 )</w:t>
            </w: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rPr>
              <w:t>Net loss attributable to common shareholders</w:t>
            </w:r>
          </w:p>
        </w:tc>
        <w:tc>
          <w:tcPr>
            <w:tcW w:w="26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(2,851 )</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(9,211 )</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(16,460 )</w:t>
            </w:r>
          </w:p>
        </w:tc>
        <w:tc>
          <w:tcPr>
            <w:tcW w:w="2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(24,051 )</w:t>
            </w: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shares repurchased and retired</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(17,977 )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(20,587 )</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9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980" w:type="dxa"/>
            <w:vAlign w:val="bottom"/>
          </w:tcPr>
          <w:p>
            <w:pPr>
              <w:ind w:left="20"/>
              <w:spacing w:after="0" w:line="183" w:lineRule="exact"/>
              <w:rPr>
                <w:sz w:val="20"/>
                <w:szCs w:val="20"/>
                <w:color w:val="auto"/>
              </w:rPr>
            </w:pPr>
            <w:r>
              <w:rPr>
                <w:rFonts w:ascii="Arial" w:cs="Arial" w:eastAsia="Arial" w:hAnsi="Arial"/>
                <w:sz w:val="16"/>
                <w:szCs w:val="16"/>
                <w:color w:val="auto"/>
              </w:rPr>
              <w:t>Balance, end of period</w:t>
            </w:r>
          </w:p>
        </w:tc>
        <w:tc>
          <w:tcPr>
            <w:tcW w:w="260" w:type="dxa"/>
            <w:vAlign w:val="bottom"/>
          </w:tcPr>
          <w:p>
            <w:pPr>
              <w:spacing w:after="0"/>
              <w:rPr>
                <w:sz w:val="15"/>
                <w:szCs w:val="15"/>
                <w:color w:val="auto"/>
              </w:rPr>
            </w:pPr>
          </w:p>
        </w:tc>
        <w:tc>
          <w:tcPr>
            <w:tcW w:w="112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(272,022 )</w:t>
            </w:r>
          </w:p>
        </w:tc>
        <w:tc>
          <w:tcPr>
            <w:tcW w:w="260" w:type="dxa"/>
            <w:vAlign w:val="bottom"/>
          </w:tcPr>
          <w:p>
            <w:pPr>
              <w:spacing w:after="0"/>
              <w:rPr>
                <w:sz w:val="15"/>
                <w:szCs w:val="15"/>
                <w:color w:val="auto"/>
              </w:rPr>
            </w:pPr>
          </w:p>
        </w:tc>
        <w:tc>
          <w:tcPr>
            <w:tcW w:w="10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(226,900 )</w:t>
            </w:r>
          </w:p>
        </w:tc>
        <w:tc>
          <w:tcPr>
            <w:tcW w:w="260" w:type="dxa"/>
            <w:vAlign w:val="bottom"/>
          </w:tcPr>
          <w:p>
            <w:pPr>
              <w:spacing w:after="0"/>
              <w:rPr>
                <w:sz w:val="15"/>
                <w:szCs w:val="15"/>
                <w:color w:val="auto"/>
              </w:rPr>
            </w:pPr>
          </w:p>
        </w:tc>
        <w:tc>
          <w:tcPr>
            <w:tcW w:w="10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(272,022 )</w:t>
            </w:r>
          </w:p>
        </w:tc>
        <w:tc>
          <w:tcPr>
            <w:tcW w:w="260" w:type="dxa"/>
            <w:vAlign w:val="bottom"/>
          </w:tcPr>
          <w:p>
            <w:pPr>
              <w:spacing w:after="0"/>
              <w:rPr>
                <w:sz w:val="15"/>
                <w:szCs w:val="15"/>
                <w:color w:val="auto"/>
              </w:rPr>
            </w:pPr>
          </w:p>
        </w:tc>
        <w:tc>
          <w:tcPr>
            <w:tcW w:w="9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(226,900 )</w:t>
            </w:r>
          </w:p>
        </w:tc>
      </w:tr>
      <w:tr>
        <w:trPr>
          <w:trHeight w:val="183"/>
        </w:trPr>
        <w:tc>
          <w:tcPr>
            <w:tcW w:w="5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Adjustments to accumulated other comprehensive (loss) income :</w:t>
            </w: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(459 )</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 income, net of tax</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(9,983 )</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(9,282 )</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16"/>
                <w:szCs w:val="16"/>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980" w:type="dxa"/>
            <w:vAlign w:val="bottom"/>
          </w:tcPr>
          <w:p>
            <w:pPr>
              <w:ind w:left="20"/>
              <w:spacing w:after="0" w:line="183" w:lineRule="exact"/>
              <w:rPr>
                <w:sz w:val="20"/>
                <w:szCs w:val="20"/>
                <w:color w:val="auto"/>
              </w:rPr>
            </w:pPr>
            <w:r>
              <w:rPr>
                <w:rFonts w:ascii="Arial" w:cs="Arial" w:eastAsia="Arial" w:hAnsi="Arial"/>
                <w:sz w:val="16"/>
                <w:szCs w:val="16"/>
                <w:color w:val="auto"/>
              </w:rPr>
              <w:t>Balance, end of period</w:t>
            </w:r>
          </w:p>
        </w:tc>
        <w:tc>
          <w:tcPr>
            <w:tcW w:w="260" w:type="dxa"/>
            <w:vAlign w:val="bottom"/>
          </w:tcPr>
          <w:p>
            <w:pPr>
              <w:spacing w:after="0"/>
              <w:rPr>
                <w:sz w:val="15"/>
                <w:szCs w:val="15"/>
                <w:color w:val="auto"/>
              </w:rPr>
            </w:pPr>
          </w:p>
        </w:tc>
        <w:tc>
          <w:tcPr>
            <w:tcW w:w="112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(6,755 )</w:t>
            </w:r>
          </w:p>
        </w:tc>
        <w:tc>
          <w:tcPr>
            <w:tcW w:w="26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1,062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(6,755 )</w:t>
            </w:r>
          </w:p>
        </w:tc>
        <w:tc>
          <w:tcPr>
            <w:tcW w:w="26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1,062</w:t>
            </w:r>
          </w:p>
        </w:tc>
        <w:tc>
          <w:tcPr>
            <w:tcW w:w="100" w:type="dxa"/>
            <w:vAlign w:val="bottom"/>
          </w:tcPr>
          <w:p>
            <w:pPr>
              <w:spacing w:after="0"/>
              <w:rPr>
                <w:sz w:val="15"/>
                <w:szCs w:val="15"/>
                <w:color w:val="auto"/>
              </w:rPr>
            </w:pPr>
          </w:p>
        </w:tc>
      </w:tr>
      <w:tr>
        <w:trPr>
          <w:trHeight w:val="183"/>
        </w:trPr>
        <w:tc>
          <w:tcPr>
            <w:tcW w:w="5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Adjustments to non-controlling interests:</w:t>
            </w: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74,081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73,697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73,531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70,004</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 income attributable to non-controlling interests</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(1,381 )</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3,083</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7,432</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rPr>
              <w:t>Other comprehensive (loss) income, net of tax</w:t>
            </w:r>
          </w:p>
        </w:tc>
        <w:tc>
          <w:tcPr>
            <w:tcW w:w="26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(3,906 )</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(3,739 )</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 related to non-controlling shareholders of IMAX China</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(2,610 )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(2,099 )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(2,610 )</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(2,099 )</w:t>
            </w:r>
          </w:p>
        </w:tc>
      </w:tr>
      <w:tr>
        <w:trPr>
          <w:trHeight w:val="189"/>
        </w:trPr>
        <w:tc>
          <w:tcPr>
            <w:tcW w:w="5980" w:type="dxa"/>
            <w:vAlign w:val="bottom"/>
          </w:tcPr>
          <w:p>
            <w:pPr>
              <w:ind w:left="200"/>
              <w:spacing w:after="0"/>
              <w:rPr>
                <w:sz w:val="20"/>
                <w:szCs w:val="20"/>
                <w:color w:val="auto"/>
              </w:rPr>
            </w:pPr>
            <w:r>
              <w:rPr>
                <w:rFonts w:ascii="Arial" w:cs="Arial" w:eastAsia="Arial" w:hAnsi="Arial"/>
                <w:sz w:val="16"/>
                <w:szCs w:val="16"/>
                <w:color w:val="auto"/>
              </w:rPr>
              <w:t>Share-based compensation attributable to non-controlling interests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ownership interest related to IMAX China common share repurchases</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(1,301 )</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3"/>
        </w:trPr>
        <w:tc>
          <w:tcPr>
            <w:tcW w:w="59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Balance, end of period</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66,555</w:t>
            </w: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75,698</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66,555</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75,698</w:t>
            </w:r>
          </w:p>
        </w:tc>
        <w:tc>
          <w:tcPr>
            <w:tcW w:w="100" w:type="dxa"/>
            <w:vAlign w:val="bottom"/>
            <w:tcBorders>
              <w:top w:val="single" w:sz="8" w:color="CFF0FC"/>
            </w:tcBorders>
          </w:tcPr>
          <w:p>
            <w:pPr>
              <w:spacing w:after="0"/>
              <w:rPr>
                <w:sz w:val="15"/>
                <w:szCs w:val="15"/>
                <w:color w:val="auto"/>
              </w:rPr>
            </w:pPr>
          </w:p>
        </w:tc>
      </w:tr>
      <w:tr>
        <w:trPr>
          <w:trHeight w:val="222"/>
        </w:trPr>
        <w:tc>
          <w:tcPr>
            <w:tcW w:w="59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Shareholders' Equity</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357,485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434,759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357,485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434,759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-3956685</wp:posOffset>
            </wp:positionV>
            <wp:extent cx="768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-3956685</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-3956685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-3956685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-2739390</wp:posOffset>
            </wp:positionV>
            <wp:extent cx="768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-2739390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-2739390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-2739390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-2378075</wp:posOffset>
            </wp:positionV>
            <wp:extent cx="10223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-2378075</wp:posOffset>
            </wp:positionV>
            <wp:extent cx="939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-2378075</wp:posOffset>
            </wp:positionV>
            <wp:extent cx="939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-2378075</wp:posOffset>
            </wp:positionV>
            <wp:extent cx="9398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-1753870</wp:posOffset>
            </wp:positionV>
            <wp:extent cx="768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-1753870</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-1753870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-1753870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-1256665</wp:posOffset>
            </wp:positionV>
            <wp:extent cx="768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-1256665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-1256665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-1256665</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-279400</wp:posOffset>
            </wp:positionV>
            <wp:extent cx="768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-279400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-279400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34" w:lineRule="auto"/>
        <w:rPr>
          <w:sz w:val="20"/>
          <w:szCs w:val="20"/>
          <w:color w:val="auto"/>
        </w:rPr>
      </w:pPr>
      <w:r>
        <w:rPr>
          <w:rFonts w:ascii="Arial" w:cs="Arial" w:eastAsia="Arial" w:hAnsi="Arial"/>
          <w:sz w:val="18"/>
          <w:szCs w:val="18"/>
          <w:i w:val="1"/>
          <w:iCs w:val="1"/>
          <w:color w:val="auto"/>
        </w:rPr>
        <w:t>(Tabular amounts in thousands of U.S. Dollars, unless otherwise stated)</w:t>
      </w:r>
    </w:p>
    <w:p>
      <w:pPr>
        <w:jc w:val="center"/>
        <w:spacing w:after="0" w:line="219" w:lineRule="auto"/>
        <w:rPr>
          <w:sz w:val="20"/>
          <w:szCs w:val="20"/>
          <w:color w:val="auto"/>
        </w:rPr>
      </w:pPr>
      <w:r>
        <w:rPr>
          <w:rFonts w:ascii="Arial" w:cs="Arial" w:eastAsia="Arial" w:hAnsi="Arial"/>
          <w:sz w:val="18"/>
          <w:szCs w:val="18"/>
          <w:i w:val="1"/>
          <w:iCs w:val="1"/>
          <w:color w:val="auto"/>
        </w:rPr>
        <w:t>(Unaudited</w:t>
      </w:r>
      <w:r>
        <w:rPr>
          <w:rFonts w:ascii="Arial" w:cs="Arial" w:eastAsia="Arial" w:hAnsi="Arial"/>
          <w:sz w:val="18"/>
          <w:szCs w:val="18"/>
          <w:b w:val="1"/>
          <w:bCs w:val="1"/>
          <w:i w:val="1"/>
          <w:iCs w:val="1"/>
          <w:color w:val="auto"/>
        </w:rPr>
        <w:t>)</w:t>
      </w:r>
    </w:p>
    <w:p>
      <w:pPr>
        <w:spacing w:after="0" w:line="1" w:lineRule="exact"/>
        <w:rPr>
          <w:sz w:val="20"/>
          <w:szCs w:val="20"/>
          <w:color w:val="auto"/>
        </w:rPr>
      </w:pPr>
    </w:p>
    <w:p>
      <w:pPr>
        <w:jc w:val="both"/>
        <w:ind w:left="280" w:right="9360" w:hanging="272"/>
        <w:spacing w:after="0" w:line="473" w:lineRule="auto"/>
        <w:tabs>
          <w:tab w:leader="none" w:pos="23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i w:val="1"/>
          <w:iCs w:val="1"/>
          <w:color w:val="auto"/>
        </w:rPr>
        <w:t>Accounting Principles</w:t>
      </w:r>
    </w:p>
    <w:p>
      <w:pPr>
        <w:spacing w:after="0" w:line="1" w:lineRule="exact"/>
        <w:rPr>
          <w:sz w:val="20"/>
          <w:szCs w:val="20"/>
          <w:color w:val="auto"/>
        </w:rPr>
      </w:pPr>
    </w:p>
    <w:p>
      <w:pPr>
        <w:jc w:val="both"/>
        <w:ind w:firstLine="224"/>
        <w:spacing w:after="0" w:line="238" w:lineRule="auto"/>
        <w:rPr>
          <w:sz w:val="20"/>
          <w:szCs w:val="20"/>
          <w:color w:val="auto"/>
        </w:rPr>
      </w:pPr>
      <w:r>
        <w:rPr>
          <w:rFonts w:ascii="Arial" w:cs="Arial" w:eastAsia="Arial" w:hAnsi="Arial"/>
          <w:sz w:val="17"/>
          <w:szCs w:val="17"/>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2021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spacing w:after="0" w:line="137" w:lineRule="exact"/>
        <w:rPr>
          <w:sz w:val="20"/>
          <w:szCs w:val="20"/>
          <w:color w:val="auto"/>
        </w:rPr>
      </w:pPr>
    </w:p>
    <w:p>
      <w:pPr>
        <w:jc w:val="both"/>
        <w:ind w:firstLine="224"/>
        <w:spacing w:after="0" w:line="231"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included in the Company’s 2021 Annual Report on Form 10-K (the “2021 Form 10-K”), which should be consulted for a summary of the significant accounting policies utilized by the Company. The Condensed Consolidated Financial Statements are prepared following the same accounting policies disclosed in the 2021 Form 10-K.</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Revision of Prior Period Amounts</w:t>
      </w:r>
    </w:p>
    <w:p>
      <w:pPr>
        <w:spacing w:after="0" w:line="171" w:lineRule="exact"/>
        <w:rPr>
          <w:sz w:val="20"/>
          <w:szCs w:val="20"/>
          <w:color w:val="auto"/>
        </w:rPr>
      </w:pPr>
    </w:p>
    <w:p>
      <w:pPr>
        <w:jc w:val="both"/>
        <w:ind w:firstLine="224"/>
        <w:spacing w:after="0"/>
        <w:rPr>
          <w:sz w:val="20"/>
          <w:szCs w:val="20"/>
          <w:color w:val="auto"/>
        </w:rPr>
      </w:pPr>
      <w:r>
        <w:rPr>
          <w:rFonts w:ascii="Arial" w:cs="Arial" w:eastAsia="Arial" w:hAnsi="Arial"/>
          <w:sz w:val="17"/>
          <w:szCs w:val="17"/>
          <w:color w:val="auto"/>
        </w:rPr>
        <w:t>In the Condensed Consolidated Statements of Shareholders’ Equity, the Company revised the June 30, 2021 balances of Total Shareholders’ Equity Attributable to Common Shareholders and Non-Controlling Interests. The revisions were principally made to properly reflect changes in the Company’s ownership interest in IMAX China Holding, Inc. ("IMAX China") as a result of common share repurchases made by IMAX China and the amortization of share-based compensation related to IMAX China. The revisions resulted in a reclassification of $8.4 million between the balances of Other Equity and Non-Controlling Interests as of June 30, 2021. There is no change in Total Shareholders’ Equity as a result of the revisions. (See Note 3(a) of Notes to Consolidated Financial Statements in Part II, Item 8 of the Company's 2021 Form 10-K).</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58" w:lineRule="exact"/>
        <w:rPr>
          <w:sz w:val="20"/>
          <w:szCs w:val="20"/>
          <w:color w:val="auto"/>
        </w:rPr>
      </w:pPr>
    </w:p>
    <w:p>
      <w:pPr>
        <w:jc w:val="both"/>
        <w:ind w:firstLine="224"/>
        <w:spacing w:after="0" w:line="231" w:lineRule="auto"/>
        <w:rPr>
          <w:sz w:val="20"/>
          <w:szCs w:val="20"/>
          <w:color w:val="auto"/>
        </w:rPr>
      </w:pPr>
      <w:r>
        <w:rPr>
          <w:rFonts w:ascii="Arial" w:cs="Arial" w:eastAsia="Arial" w:hAnsi="Arial"/>
          <w:sz w:val="18"/>
          <w:szCs w:val="18"/>
          <w:color w:val="auto"/>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48" w:lineRule="exact"/>
        <w:rPr>
          <w:sz w:val="20"/>
          <w:szCs w:val="20"/>
          <w:color w:val="auto"/>
        </w:rPr>
      </w:pPr>
    </w:p>
    <w:p>
      <w:pPr>
        <w:jc w:val="both"/>
        <w:ind w:firstLine="224"/>
        <w:spacing w:after="0" w:line="238"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 of Operations.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30, 2022 and December 31, 2021, total assets and liabilities of the Company’s consolidated VIEs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9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6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r>
      <w:tr>
        <w:trPr>
          <w:trHeight w:val="196"/>
        </w:trPr>
        <w:tc>
          <w:tcPr>
            <w:tcW w:w="3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assets</w:t>
            </w:r>
          </w:p>
        </w:tc>
        <w:tc>
          <w:tcPr>
            <w:tcW w:w="40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1,552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1,576</w:t>
            </w:r>
          </w:p>
        </w:tc>
      </w:tr>
      <w:tr>
        <w:trPr>
          <w:trHeight w:val="230"/>
        </w:trPr>
        <w:tc>
          <w:tcPr>
            <w:tcW w:w="36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4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256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259</w:t>
            </w:r>
          </w:p>
        </w:tc>
      </w:tr>
      <w:tr>
        <w:trPr>
          <w:trHeight w:val="809"/>
        </w:trPr>
        <w:tc>
          <w:tcPr>
            <w:tcW w:w="3680" w:type="dxa"/>
            <w:vAlign w:val="bottom"/>
          </w:tcPr>
          <w:p>
            <w:pPr>
              <w:spacing w:after="0"/>
              <w:rPr>
                <w:sz w:val="24"/>
                <w:szCs w:val="24"/>
                <w:color w:val="auto"/>
              </w:rPr>
            </w:pPr>
          </w:p>
        </w:tc>
        <w:tc>
          <w:tcPr>
            <w:tcW w:w="4020" w:type="dxa"/>
            <w:vAlign w:val="bottom"/>
          </w:tcPr>
          <w:p>
            <w:pPr>
              <w:jc w:val="right"/>
              <w:ind w:right="195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71" w:lineRule="exact"/>
        <w:rPr>
          <w:sz w:val="20"/>
          <w:szCs w:val="20"/>
          <w:color w:val="auto"/>
        </w:rPr>
      </w:pPr>
    </w:p>
    <w:p>
      <w:pPr>
        <w:jc w:val="both"/>
        <w:ind w:firstLine="224"/>
        <w:spacing w:after="0" w:line="235" w:lineRule="auto"/>
        <w:rPr>
          <w:sz w:val="20"/>
          <w:szCs w:val="20"/>
          <w:color w:val="auto"/>
        </w:rPr>
      </w:pPr>
      <w:r>
        <w:rPr>
          <w:rFonts w:ascii="Arial" w:cs="Arial" w:eastAsia="Arial" w:hAnsi="Arial"/>
          <w:sz w:val="17"/>
          <w:szCs w:val="17"/>
          <w:color w:val="auto"/>
        </w:rPr>
        <w:t>In preparing the Company’s Condensed Consolidated Financial Statements, management makes judgments in applying various accounting policies. The areas of policy judgment are consistent with those reported in Note 3(c) of the Company's audited Consolidated Financial Statements included in its 2021 Form 10-K.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Theater System arrangement to distinct performance obligations; (ii) the amount of variable consideration to be earned on sales of IMAX Theater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142" w:lineRule="exact"/>
        <w:rPr>
          <w:sz w:val="20"/>
          <w:szCs w:val="20"/>
          <w:color w:val="auto"/>
        </w:rPr>
      </w:pPr>
    </w:p>
    <w:p>
      <w:pPr>
        <w:jc w:val="both"/>
        <w:ind w:firstLine="224"/>
        <w:spacing w:after="0" w:line="266" w:lineRule="auto"/>
        <w:rPr>
          <w:sz w:val="20"/>
          <w:szCs w:val="20"/>
          <w:color w:val="auto"/>
        </w:rPr>
      </w:pPr>
      <w:r>
        <w:rPr>
          <w:rFonts w:ascii="Arial" w:cs="Arial" w:eastAsia="Arial" w:hAnsi="Arial"/>
          <w:sz w:val="16"/>
          <w:szCs w:val="16"/>
          <w:color w:val="auto"/>
        </w:rPr>
        <w:t>The impact of the COVID-19 pandemic is complex and continuously evolving, resulting in significant disruption to the Company’s business and the global economy, as described in Note 2. Although management is encouraged by the broad reopening of the IMAX theater network, the continued progress towards the resumption of normal theater operations, normal film release schedules, and recent box office results, there continues to be risk and uncertainty relating to the judgments, assumptions, and estimates used by management in preparing the Company’s Condensed Consolidated Financial Statements.</w:t>
      </w:r>
    </w:p>
    <w:p>
      <w:pPr>
        <w:spacing w:after="0" w:line="116" w:lineRule="exact"/>
        <w:rPr>
          <w:sz w:val="20"/>
          <w:szCs w:val="20"/>
          <w:color w:val="auto"/>
        </w:rPr>
      </w:pPr>
    </w:p>
    <w:p>
      <w:pPr>
        <w:jc w:val="both"/>
        <w:ind w:firstLine="224"/>
        <w:spacing w:after="0" w:line="235" w:lineRule="auto"/>
        <w:rPr>
          <w:sz w:val="20"/>
          <w:szCs w:val="20"/>
          <w:color w:val="auto"/>
        </w:rPr>
      </w:pPr>
      <w:r>
        <w:rPr>
          <w:rFonts w:ascii="Arial" w:cs="Arial" w:eastAsia="Arial" w:hAnsi="Arial"/>
          <w:sz w:val="17"/>
          <w:szCs w:val="17"/>
          <w:color w:val="auto"/>
        </w:rPr>
        <w:t>In response to the ongoing conflict between Russia and Ukraine, a number of countries in which the Company operates, including Canada and the United States, have imposed broad sanctions and other restrictive actions against governmental and other entities in Russia, which in turn have and may continue to have an adverse impact on the Company’s business and results of operations in the affected regions. In March 2022, in response to the conflict and resulting sanctions, the Company suspended its operations in Russia and Belarus. As of June 30, 2022, the IMAX network includes 54 theaters in Russia, nine theaters in Ukraine, and one theater in Belarus, and the Company's backlog includes 14 theaters in Russia, one theater in Ukraine, and seven theaters in Belarus with a total fixed contracted value of $25.6 million. As a result of the ongoing conflict, there is risk and uncertainty relating to the judgments, assumptions, and estimates used by management in preparing the Company’s Condensed Consolidated Financial Statements, including estimates related to expected credit losses on accounts receivables, financing receivables, and variable consideration receivables, as discussed in Note 4.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beginning in the first quarter of 2022, exhibitors in Russia, Ukraine, and Belarus were placed on nonaccrual status for maintenance revenue and finance income, which resulted in decreases of $0.8 million and $1.3 million in revenue during the three and six months ended June 30, 2022, respectively. The Company continues to monitor the evolving impacts of this conflict and its effects on the global economy and the Company. Given the global nature of the Company’s operations, any protracted conflict or the broader macroeconomic impact of the Russia-Ukraine conflict and sanctions imposed on Russia could have further adverse impacts on the Company’s business, results of operations, and financial condition.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89"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China in the first quarter of 2022, the Chinese government reinstituted capacity restrictions and safety protocols on large public gatherings, which has led to the temporary closure of theaters in several cities. As of June 30, 2022, approximately 90% of the IMAX theaters in Greater China were open at various capacities, up from 52% as of March 31, 2022.</w:t>
      </w:r>
    </w:p>
    <w:p>
      <w:pPr>
        <w:spacing w:after="0" w:line="14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7"/>
          <w:szCs w:val="17"/>
          <w:color w:val="auto"/>
        </w:rPr>
        <w:t>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new and the spread of existing variants of the virus, the progress made on administering vaccines and developing treatments and the effectiveness of such vaccines and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Standards</w:t>
      </w:r>
    </w:p>
    <w:p>
      <w:pPr>
        <w:spacing w:after="0" w:line="189"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ASU 2020-04 is effective for all entities from the beginning of an interim period that includes the issuance date of the ASU. An entity may elect to apply ASU 2020-04 prospectively through December 31, 2022. In April 2022, FASB issued a proposed ASU that would extend the temporary accounting relief to December 31, 2024 from the current sunset date of December 31, 2022. As of June 30, 2022, the Company is not party to any third party contracts that reference the London Interbank Offered Rate (LIBOR). Accordingly, the Company does not expect ASU 2020-04 to have a material effect on its Condensed Consolidated Financial Statements.</w:t>
      </w:r>
    </w:p>
    <w:p>
      <w:pPr>
        <w:spacing w:after="0" w:line="140" w:lineRule="exact"/>
        <w:rPr>
          <w:sz w:val="20"/>
          <w:szCs w:val="20"/>
          <w:color w:val="auto"/>
        </w:rPr>
      </w:pPr>
    </w:p>
    <w:p>
      <w:pPr>
        <w:jc w:val="both"/>
        <w:ind w:firstLine="224"/>
        <w:spacing w:after="0" w:line="284" w:lineRule="auto"/>
        <w:rPr>
          <w:sz w:val="20"/>
          <w:szCs w:val="20"/>
          <w:color w:val="auto"/>
        </w:rPr>
      </w:pPr>
      <w:r>
        <w:rPr>
          <w:rFonts w:ascii="Arial" w:cs="Arial" w:eastAsia="Arial" w:hAnsi="Arial"/>
          <w:sz w:val="16"/>
          <w:szCs w:val="16"/>
          <w:color w:val="auto"/>
        </w:rPr>
        <w:t>In November 2021, the FASB issued ASU No. 2021-10, “2021-10: Government Assistance (Topic 832): Disclosures by Business Entities about Government Assistance” (“ASU 2021-10”). ASU 2021-10 requires annual disclosures about transactions with a government that are accounted for by applying a grant or contribution accounting model by analogy. ASU 2021-10 is effective for annual periods beginning after December 15, 2021. Early adoption is permitted. The Company will adopt ASU 2021-10 for the year ending December 31, 2022 and will provide the required disclosures, if material.</w:t>
      </w:r>
    </w:p>
    <w:p>
      <w:pPr>
        <w:spacing w:after="0" w:line="115"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In March 2022, the FASB issued ASU No. 2022-02, "2022-02: Financial Instruments—Credit Losses (Topic 326): Troubled Debt Restructurings and Vintage Disclosures" ("ASU 2022-02"). ASU 2022-02 requires that an entity disclose current-period gross write-offs by year of origination for financing receivables and net investments in leases. ASU 2022-02 is effective for annual periods beginning after December 15, 2022, including interim periods within those periods. Early adoption is permitted. The Company will adopt ASU 2022-02 in the first quarter of 2023 and will provide the required disclosures, if material.</w:t>
      </w:r>
    </w:p>
    <w:p>
      <w:pPr>
        <w:spacing w:after="0" w:line="16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Company considers the applicability and impact of all FASB ASUs that are recently issued, but not yet effective. ASUs that are not noted above were assessed and determined to be not applicable or not significant to the Company’s Condensed Consolidated Financial Statements for the period ended June 30, 2022.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Receivables</w:t>
      </w:r>
    </w:p>
    <w:p>
      <w:pPr>
        <w:spacing w:after="0" w:line="189"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their being unable to fulfill their payment obligations to the Company.</w:t>
      </w:r>
    </w:p>
    <w:p>
      <w:pPr>
        <w:spacing w:after="0" w:line="143" w:lineRule="exact"/>
        <w:rPr>
          <w:sz w:val="20"/>
          <w:szCs w:val="20"/>
          <w:color w:val="auto"/>
        </w:rPr>
      </w:pPr>
    </w:p>
    <w:p>
      <w:pPr>
        <w:jc w:val="both"/>
        <w:ind w:firstLine="224"/>
        <w:spacing w:after="0" w:line="273" w:lineRule="auto"/>
        <w:rPr>
          <w:sz w:val="20"/>
          <w:szCs w:val="20"/>
          <w:color w:val="auto"/>
        </w:rPr>
      </w:pPr>
      <w:r>
        <w:rPr>
          <w:rFonts w:ascii="Arial" w:cs="Arial" w:eastAsia="Arial" w:hAnsi="Arial"/>
          <w:sz w:val="17"/>
          <w:szCs w:val="17"/>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37" w:lineRule="exact"/>
        <w:rPr>
          <w:sz w:val="20"/>
          <w:szCs w:val="20"/>
          <w:color w:val="auto"/>
        </w:rPr>
      </w:pPr>
    </w:p>
    <w:p>
      <w:pPr>
        <w:ind w:left="980" w:hanging="373"/>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Good Standing — The theater operator continues to be in good standing as payments and reporting are received on a regular basis.</w:t>
      </w:r>
    </w:p>
    <w:p>
      <w:pPr>
        <w:spacing w:after="0" w:line="196" w:lineRule="exact"/>
        <w:rPr>
          <w:rFonts w:ascii="Arial" w:cs="Arial" w:eastAsia="Arial" w:hAnsi="Arial"/>
          <w:sz w:val="17"/>
          <w:szCs w:val="17"/>
          <w:color w:val="auto"/>
        </w:rPr>
      </w:pPr>
    </w:p>
    <w:p>
      <w:pPr>
        <w:jc w:val="both"/>
        <w:ind w:left="980" w:hanging="373"/>
        <w:spacing w:after="0" w:line="24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48" w:lineRule="exact"/>
        <w:rPr>
          <w:rFonts w:ascii="Arial" w:cs="Arial" w:eastAsia="Arial" w:hAnsi="Arial"/>
          <w:sz w:val="18"/>
          <w:szCs w:val="18"/>
          <w:color w:val="auto"/>
        </w:rPr>
      </w:pPr>
    </w:p>
    <w:p>
      <w:pPr>
        <w:jc w:val="both"/>
        <w:ind w:left="980" w:hanging="373"/>
        <w:spacing w:after="0" w:line="25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133" w:lineRule="exact"/>
        <w:rPr>
          <w:rFonts w:ascii="Arial" w:cs="Arial" w:eastAsia="Arial" w:hAnsi="Arial"/>
          <w:sz w:val="17"/>
          <w:szCs w:val="17"/>
          <w:color w:val="auto"/>
        </w:rPr>
      </w:pPr>
    </w:p>
    <w:p>
      <w:pPr>
        <w:jc w:val="both"/>
        <w:ind w:left="980" w:hanging="373"/>
        <w:spacing w:after="0" w:line="294"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12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146" w:lineRule="exact"/>
        <w:rPr>
          <w:sz w:val="20"/>
          <w:szCs w:val="20"/>
          <w:color w:val="auto"/>
        </w:rPr>
      </w:pPr>
    </w:p>
    <w:p>
      <w:pPr>
        <w:jc w:val="both"/>
        <w:ind w:right="20" w:firstLine="224"/>
        <w:spacing w:after="0" w:line="263" w:lineRule="auto"/>
        <w:rPr>
          <w:sz w:val="20"/>
          <w:szCs w:val="20"/>
          <w:color w:val="auto"/>
        </w:rPr>
      </w:pPr>
      <w:r>
        <w:rPr>
          <w:rFonts w:ascii="Arial" w:cs="Arial" w:eastAsia="Arial" w:hAnsi="Arial"/>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143"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16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jc w:val="both"/>
        <w:ind w:right="20" w:firstLine="224"/>
        <w:spacing w:after="0" w:line="259"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160"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The following tables summarize the activity in the allowance for credit losses related to Accounts Receivable for the three and six months ended June 30,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Three Months Ended June 30, 2022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w w:val="94"/>
              </w:rPr>
              <w:t>Six Months Ended June 30, 2022</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Theater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68"/>
              <w:spacing w:after="0" w:line="133"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Operators</w:t>
            </w:r>
          </w:p>
        </w:tc>
        <w:tc>
          <w:tcPr>
            <w:tcW w:w="180" w:type="dxa"/>
            <w:vAlign w:val="bottom"/>
          </w:tcPr>
          <w:p>
            <w:pPr>
              <w:spacing w:after="0"/>
              <w:rPr>
                <w:sz w:val="16"/>
                <w:szCs w:val="16"/>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Studios</w:t>
            </w:r>
          </w:p>
        </w:tc>
        <w:tc>
          <w:tcPr>
            <w:tcW w:w="200" w:type="dxa"/>
            <w:vAlign w:val="bottom"/>
          </w:tcPr>
          <w:p>
            <w:pPr>
              <w:spacing w:after="0"/>
              <w:rPr>
                <w:sz w:val="16"/>
                <w:szCs w:val="16"/>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5"/>
              </w:rPr>
              <w:t>Operators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Studios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10,831</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1,995</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1,358</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14,184</w:t>
            </w: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8,867</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1,994</w:t>
            </w: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1,085</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20"/>
              <w:spacing w:after="0" w:line="162" w:lineRule="exact"/>
              <w:rPr>
                <w:sz w:val="20"/>
                <w:szCs w:val="20"/>
                <w:color w:val="auto"/>
              </w:rPr>
            </w:pPr>
            <w:r>
              <w:rPr>
                <w:rFonts w:ascii="Arial" w:cs="Arial" w:eastAsia="Arial" w:hAnsi="Arial"/>
                <w:sz w:val="18"/>
                <w:szCs w:val="18"/>
                <w:color w:val="auto"/>
              </w:rPr>
              <w:t>Current period provision</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(104 )</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(57 )</w:t>
            </w:r>
          </w:p>
        </w:tc>
        <w:tc>
          <w:tcPr>
            <w:tcW w:w="22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20"/>
              <w:spacing w:after="0"/>
              <w:rPr>
                <w:sz w:val="20"/>
                <w:szCs w:val="20"/>
                <w:color w:val="auto"/>
              </w:rPr>
            </w:pPr>
            <w:r>
              <w:rPr>
                <w:rFonts w:ascii="Arial" w:cs="Arial" w:eastAsia="Arial" w:hAnsi="Arial"/>
                <w:sz w:val="18"/>
                <w:szCs w:val="18"/>
                <w:color w:val="auto"/>
              </w:rPr>
              <w:t>(reversal), net</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Write-offs</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(43 )</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(124 )</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(394 )</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(561 )</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(124 )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(394 )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(561 )</w:t>
            </w: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line="202" w:lineRule="exact"/>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(218 )</w:t>
            </w:r>
          </w:p>
        </w:tc>
        <w:tc>
          <w:tcPr>
            <w:tcW w:w="18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(23 )</w:t>
            </w:r>
          </w:p>
        </w:tc>
        <w:tc>
          <w:tcPr>
            <w:tcW w:w="2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(241 )</w:t>
            </w:r>
          </w:p>
        </w:tc>
        <w:tc>
          <w:tcPr>
            <w:tcW w:w="1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10,704</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1,744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13,355</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10,704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1,744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907</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Three Months Ended June 30, 2021</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w w:val="94"/>
              </w:rPr>
              <w:t>Six Months Ended June 30, 2021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Theater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68"/>
              <w:spacing w:after="0" w:line="133"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Operators</w:t>
            </w:r>
          </w:p>
        </w:tc>
        <w:tc>
          <w:tcPr>
            <w:tcW w:w="180" w:type="dxa"/>
            <w:vAlign w:val="bottom"/>
          </w:tcPr>
          <w:p>
            <w:pPr>
              <w:spacing w:after="0"/>
              <w:rPr>
                <w:sz w:val="16"/>
                <w:szCs w:val="16"/>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Studios</w:t>
            </w:r>
          </w:p>
        </w:tc>
        <w:tc>
          <w:tcPr>
            <w:tcW w:w="200" w:type="dxa"/>
            <w:vAlign w:val="bottom"/>
          </w:tcPr>
          <w:p>
            <w:pPr>
              <w:spacing w:after="0"/>
              <w:rPr>
                <w:sz w:val="16"/>
                <w:szCs w:val="16"/>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5"/>
              </w:rPr>
              <w:t>Operators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Studios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8,783</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3,771</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1,188</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13,742</w:t>
            </w: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8,368</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4,481</w:t>
            </w: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1,446</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20"/>
              <w:spacing w:after="0" w:line="162" w:lineRule="exact"/>
              <w:rPr>
                <w:sz w:val="20"/>
                <w:szCs w:val="20"/>
                <w:color w:val="auto"/>
              </w:rPr>
            </w:pPr>
            <w:r>
              <w:rPr>
                <w:rFonts w:ascii="Arial" w:cs="Arial" w:eastAsia="Arial" w:hAnsi="Arial"/>
                <w:sz w:val="18"/>
                <w:szCs w:val="18"/>
                <w:color w:val="auto"/>
              </w:rPr>
              <w:t>Current period (reversal)</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(221 )</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(1,178 )</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(1,395 )</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(1,677 )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(245 )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(1,544 )</w:t>
            </w:r>
          </w:p>
        </w:tc>
        <w:tc>
          <w:tcPr>
            <w:tcW w:w="0" w:type="dxa"/>
            <w:vAlign w:val="bottom"/>
          </w:tcPr>
          <w:p>
            <w:pPr>
              <w:spacing w:after="0"/>
              <w:rPr>
                <w:sz w:val="1"/>
                <w:szCs w:val="1"/>
                <w:color w:val="auto"/>
              </w:rPr>
            </w:pPr>
          </w:p>
        </w:tc>
      </w:tr>
      <w:tr>
        <w:trPr>
          <w:trHeight w:val="216"/>
        </w:trPr>
        <w:tc>
          <w:tcPr>
            <w:tcW w:w="2540" w:type="dxa"/>
            <w:vAlign w:val="bottom"/>
          </w:tcPr>
          <w:p>
            <w:pPr>
              <w:ind w:left="120"/>
              <w:spacing w:after="0"/>
              <w:rPr>
                <w:sz w:val="20"/>
                <w:szCs w:val="20"/>
                <w:color w:val="auto"/>
              </w:rPr>
            </w:pPr>
            <w:r>
              <w:rPr>
                <w:rFonts w:ascii="Arial" w:cs="Arial" w:eastAsia="Arial" w:hAnsi="Arial"/>
                <w:sz w:val="18"/>
                <w:szCs w:val="18"/>
                <w:color w:val="auto"/>
              </w:rPr>
              <w:t>provision, net</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Write-offs</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(65 )</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(103 )</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(168 )</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(235 )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(252 )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(487 )</w:t>
            </w: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line="202" w:lineRule="exact"/>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8,597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2,517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12,306</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8,597</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2,517</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12,306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-1285240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-1268095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-1285240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-1268095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-1285240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-1268095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-1285240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-1268095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-1285240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-1268095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-1285240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-1268095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-1285240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-1268095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For the three months ended June 30, 2022, the Company’s allowance for current expected credit losses related to Accounts Receivable decreased by $0.8 million compared to prior period, principally due to the write-off of certain receivables and foreign currency exchange rate movements. For the six months ended June 30, 2022, the Company’s allowance for current expected credit losses related to Accounts Receivable increased by $1.4 million compared to prior period, principally due to reserves established against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w:t>
      </w:r>
    </w:p>
    <w:p>
      <w:pPr>
        <w:spacing w:after="0" w:line="16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three and six months ended June 30, 2021, the Company’s allowance for current expected credit losses related to Accounts Receivable decreased by $1.4 million and $2.0 million, respectively, principally as a result of better than anticipated collection experience with respect to foreign theater and studio receivable balances, which allowed the reversal of previously recorded Credit Loss Expense.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85" w:lineRule="exact"/>
        <w:rPr>
          <w:sz w:val="20"/>
          <w:szCs w:val="20"/>
          <w:color w:val="auto"/>
        </w:rPr>
      </w:pPr>
    </w:p>
    <w:p>
      <w:pPr>
        <w:ind w:right="20" w:firstLine="224"/>
        <w:spacing w:after="0" w:line="324" w:lineRule="auto"/>
        <w:rPr>
          <w:sz w:val="20"/>
          <w:szCs w:val="20"/>
          <w:color w:val="auto"/>
        </w:rPr>
      </w:pPr>
      <w:r>
        <w:rPr>
          <w:rFonts w:ascii="Arial" w:cs="Arial" w:eastAsia="Arial" w:hAnsi="Arial"/>
          <w:sz w:val="16"/>
          <w:szCs w:val="16"/>
          <w:color w:val="auto"/>
        </w:rPr>
        <w:t>Financing receivables are due from theater operators and consist of the Company’s net investment in sales-type leases and receivables associated with financed sales of IMAX Theater Systems. As of June 30, 2022 and December 31, 2021, financing receivables consist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investment in leases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Gross minimum payments due under sales-type leases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28,438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29,953</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Unearned finance income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(1,037 )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(763 )</w:t>
            </w:r>
          </w:p>
        </w:tc>
      </w:tr>
      <w:tr>
        <w:trPr>
          <w:trHeight w:val="196"/>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Present value of minimum payments due under sales-type leases</w:t>
            </w: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27,401</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29,190</w:t>
            </w:r>
          </w:p>
        </w:tc>
        <w:tc>
          <w:tcPr>
            <w:tcW w:w="100" w:type="dxa"/>
            <w:vAlign w:val="bottom"/>
            <w:tcBorders>
              <w:top w:val="single" w:sz="8" w:color="CFF0FC"/>
            </w:tcBorders>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Allowance for credit losses</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(688 )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(798 )</w:t>
            </w:r>
          </w:p>
        </w:tc>
      </w:tr>
      <w:tr>
        <w:trPr>
          <w:trHeight w:val="196"/>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investment in leases</w:t>
            </w: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26,713</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28,392</w:t>
            </w:r>
          </w:p>
        </w:tc>
        <w:tc>
          <w:tcPr>
            <w:tcW w:w="100" w:type="dxa"/>
            <w:vAlign w:val="bottom"/>
            <w:tcBorders>
              <w:top w:val="single" w:sz="8" w:color="CFF0FC"/>
            </w:tcBorders>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Financed sales receivables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Gross minimum payments due under financed sales</w:t>
            </w: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141,976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152,315</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Unearned finance income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(30,478 )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(34,244 )</w:t>
            </w:r>
          </w:p>
        </w:tc>
      </w:tr>
      <w:tr>
        <w:trPr>
          <w:trHeight w:val="196"/>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Present value of minimum payments due under financed sales</w:t>
            </w: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111,498</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118,071</w:t>
            </w:r>
          </w:p>
        </w:tc>
        <w:tc>
          <w:tcPr>
            <w:tcW w:w="100" w:type="dxa"/>
            <w:vAlign w:val="bottom"/>
            <w:tcBorders>
              <w:top w:val="single" w:sz="8" w:color="CFF0FC"/>
            </w:tcBorders>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Allowance for credit losses</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(11,038 )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(5,414 )</w:t>
            </w:r>
          </w:p>
        </w:tc>
      </w:tr>
      <w:tr>
        <w:trPr>
          <w:trHeight w:val="196"/>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financed sales receivables</w:t>
            </w: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100,460</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112,657</w:t>
            </w:r>
          </w:p>
        </w:tc>
        <w:tc>
          <w:tcPr>
            <w:tcW w:w="100" w:type="dxa"/>
            <w:vAlign w:val="bottom"/>
            <w:tcBorders>
              <w:top w:val="single" w:sz="8" w:color="CFF0FC"/>
            </w:tcBorders>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financing receivables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127,173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141,049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6"/>
        </w:trPr>
        <w:tc>
          <w:tcPr>
            <w:tcW w:w="7640" w:type="dxa"/>
            <w:vAlign w:val="bottom"/>
          </w:tcPr>
          <w:p>
            <w:pPr>
              <w:ind w:left="20"/>
              <w:spacing w:after="0"/>
              <w:rPr>
                <w:sz w:val="20"/>
                <w:szCs w:val="20"/>
                <w:color w:val="auto"/>
              </w:rPr>
            </w:pPr>
            <w:r>
              <w:rPr>
                <w:rFonts w:ascii="Arial" w:cs="Arial" w:eastAsia="Arial" w:hAnsi="Arial"/>
                <w:sz w:val="18"/>
                <w:szCs w:val="18"/>
                <w:color w:val="auto"/>
              </w:rPr>
              <w:t>Net financed sales receivables due within one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28,937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29,115</w:t>
            </w:r>
          </w:p>
        </w:tc>
        <w:tc>
          <w:tcPr>
            <w:tcW w:w="100" w:type="dxa"/>
            <w:vAlign w:val="bottom"/>
          </w:tcPr>
          <w:p>
            <w:pPr>
              <w:spacing w:after="0"/>
              <w:rPr>
                <w:sz w:val="24"/>
                <w:szCs w:val="24"/>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financed sales receivables due after one year</w:t>
            </w:r>
          </w:p>
        </w:tc>
        <w:tc>
          <w:tcPr>
            <w:tcW w:w="3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71,523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83,542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financed sales receivables</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100,460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112,657</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-1908175</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-1908175</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-1642110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-1642110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-1110615</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-1110615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-845185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-574040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-556895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-159385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2022 and December 31, 2021, the weighted-average remaining lease term and weighted-average interest rate associated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220" w:type="dxa"/>
            <w:vAlign w:val="bottom"/>
          </w:tcPr>
          <w:p>
            <w:pPr>
              <w:ind w:left="68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r>
      <w:tr>
        <w:trPr>
          <w:trHeight w:val="188"/>
        </w:trPr>
        <w:tc>
          <w:tcPr>
            <w:tcW w:w="8560" w:type="dxa"/>
            <w:vAlign w:val="bottom"/>
            <w:gridSpan w:val="2"/>
          </w:tcPr>
          <w:p>
            <w:pPr>
              <w:ind w:left="812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r>
      <w:tr>
        <w:trPr>
          <w:trHeight w:val="196"/>
        </w:trPr>
        <w:tc>
          <w:tcPr>
            <w:tcW w:w="7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Weighted-average remaining lease term (in years)</w:t>
            </w:r>
          </w:p>
        </w:tc>
        <w:tc>
          <w:tcPr>
            <w:tcW w:w="12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r>
      <w:tr>
        <w:trPr>
          <w:trHeight w:val="203"/>
        </w:trPr>
        <w:tc>
          <w:tcPr>
            <w:tcW w:w="8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Sales-type lease arrangements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20" w:type="dxa"/>
            <w:vAlign w:val="bottom"/>
          </w:tcPr>
          <w:p>
            <w:pPr>
              <w:spacing w:after="0"/>
              <w:rPr>
                <w:sz w:val="17"/>
                <w:szCs w:val="17"/>
                <w:color w:val="auto"/>
              </w:rPr>
            </w:pPr>
          </w:p>
        </w:tc>
      </w:tr>
      <w:tr>
        <w:trPr>
          <w:trHeight w:val="203"/>
        </w:trPr>
        <w:tc>
          <w:tcPr>
            <w:tcW w:w="85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Weighted-average interest rate</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8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Sales-type lease arrangements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91"/>
              </w:rPr>
              <w:t>6.68</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5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Financed sales receivables</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8.78</w:t>
            </w:r>
          </w:p>
        </w:tc>
        <w:tc>
          <w:tcPr>
            <w:tcW w:w="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8.79</w:t>
            </w: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635"/>
        </w:trPr>
        <w:tc>
          <w:tcPr>
            <w:tcW w:w="7340" w:type="dxa"/>
            <w:vAlign w:val="bottom"/>
          </w:tcPr>
          <w:p>
            <w:pPr>
              <w:ind w:left="5540"/>
              <w:spacing w:after="0"/>
              <w:rPr>
                <w:sz w:val="20"/>
                <w:szCs w:val="20"/>
                <w:color w:val="auto"/>
              </w:rPr>
            </w:pPr>
            <w:r>
              <w:rPr>
                <w:rFonts w:ascii="Arial" w:cs="Arial" w:eastAsia="Arial" w:hAnsi="Arial"/>
                <w:sz w:val="18"/>
                <w:szCs w:val="18"/>
                <w:color w:val="auto"/>
              </w:rPr>
              <w:t>14</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4"/>
        </w:trPr>
        <w:tc>
          <w:tcPr>
            <w:tcW w:w="73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ind w:left="240"/>
        <w:spacing w:after="0"/>
        <w:rPr>
          <w:sz w:val="20"/>
          <w:szCs w:val="20"/>
          <w:color w:val="auto"/>
        </w:rPr>
      </w:pPr>
      <w:r>
        <w:rPr>
          <w:rFonts w:ascii="Arial" w:cs="Arial" w:eastAsia="Arial" w:hAnsi="Arial"/>
          <w:sz w:val="16"/>
          <w:szCs w:val="16"/>
          <w:color w:val="auto"/>
        </w:rPr>
        <w:t>The tables below provide information on the Company’s net investment in leases by credit quality indicator as of June 30, 2022 and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amounts disclosed for each credit quality classification are determined on a customer-by-customer basis and include both billed and unbilled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By Origination Year</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Prior</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investment in leases: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Credit quality classification: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 good standing</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858</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10,427</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3,791</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7,553</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2,014</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26,024</w:t>
            </w:r>
          </w:p>
        </w:tc>
        <w:tc>
          <w:tcPr>
            <w:tcW w:w="100" w:type="dxa"/>
            <w:vAlign w:val="bottom"/>
            <w:shd w:val="clear" w:color="auto" w:fill="CFF0FC"/>
          </w:tcPr>
          <w:p>
            <w:pPr>
              <w:spacing w:after="0"/>
              <w:rPr>
                <w:sz w:val="17"/>
                <w:szCs w:val="17"/>
                <w:color w:val="auto"/>
              </w:rPr>
            </w:pPr>
          </w:p>
        </w:tc>
      </w:tr>
      <w:tr>
        <w:trPr>
          <w:trHeight w:val="202"/>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Credit Watch</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Pre-approved transactions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Transactions suspended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927</w:t>
            </w:r>
          </w:p>
        </w:tc>
        <w:tc>
          <w:tcPr>
            <w:tcW w:w="100" w:type="dxa"/>
            <w:vAlign w:val="bottom"/>
          </w:tcPr>
          <w:p>
            <w:pPr>
              <w:spacing w:after="0"/>
              <w:rPr>
                <w:sz w:val="17"/>
                <w:szCs w:val="17"/>
                <w:color w:val="auto"/>
              </w:rPr>
            </w:pPr>
          </w:p>
        </w:tc>
      </w:tr>
      <w:tr>
        <w:trPr>
          <w:trHeight w:val="236"/>
        </w:trPr>
        <w:tc>
          <w:tcPr>
            <w:tcW w:w="3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net investment in leases</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10,427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3,791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7,553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2,464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2,308</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27,401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58"/>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By Origination Year</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Prior</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investment in leases: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Credit quality classification: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 good standing</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11,030</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3,991</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7,973</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2,574</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1,928</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28,319</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Credit Watch</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Pre-approved transactions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Transactions suspended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871</w:t>
            </w:r>
          </w:p>
        </w:tc>
        <w:tc>
          <w:tcPr>
            <w:tcW w:w="100" w:type="dxa"/>
            <w:vAlign w:val="bottom"/>
          </w:tcPr>
          <w:p>
            <w:pPr>
              <w:spacing w:after="0"/>
              <w:rPr>
                <w:sz w:val="17"/>
                <w:szCs w:val="17"/>
                <w:color w:val="auto"/>
              </w:rPr>
            </w:pPr>
          </w:p>
        </w:tc>
      </w:tr>
      <w:tr>
        <w:trPr>
          <w:trHeight w:val="236"/>
        </w:trPr>
        <w:tc>
          <w:tcPr>
            <w:tcW w:w="3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net investment in leases</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11,030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3,991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7,973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2,574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2,799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29,190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-1336675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-1319530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-1336675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-1319530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-1336675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-1319530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-1336675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-1319530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-1336675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-1319530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-1336675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-1319530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-25400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-8255</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tables below provide information on the Company’s financed sale receivables by credit quality indicator as of June 30, 2022 and December 31, 2021. The amounts disclosed for each credit quality classification are determined on a customer-by-customer basis and include both billed and unbilled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Financed sales receivables: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Credit quality classification: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 good standing</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3,887</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11,074</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7,824</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8,737</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11,485</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46,393</w:t>
            </w:r>
          </w:p>
        </w:tc>
        <w:tc>
          <w:tcPr>
            <w:tcW w:w="4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89,400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Credit Watch</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1,656</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Pre-approved transactions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8,665</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Transactions suspended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1,189</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8,804</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11,777</w:t>
            </w:r>
          </w:p>
        </w:tc>
        <w:tc>
          <w:tcPr>
            <w:tcW w:w="100" w:type="dxa"/>
            <w:vAlign w:val="bottom"/>
          </w:tcPr>
          <w:p>
            <w:pPr>
              <w:spacing w:after="0"/>
              <w:rPr>
                <w:sz w:val="17"/>
                <w:szCs w:val="17"/>
                <w:color w:val="auto"/>
              </w:rPr>
            </w:pPr>
          </w:p>
        </w:tc>
      </w:tr>
      <w:tr>
        <w:trPr>
          <w:trHeight w:val="236"/>
        </w:trPr>
        <w:tc>
          <w:tcPr>
            <w:tcW w:w="3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financed sales receivables</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3,928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11,755</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7,966</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11,197</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13,014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63,638</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111,498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58"/>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Financed sales receivables: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Credit quality classification: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 good standing</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12,520</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8,251</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10,593</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13,278</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12,615</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47,950</w:t>
            </w:r>
          </w:p>
        </w:tc>
        <w:tc>
          <w:tcPr>
            <w:tcW w:w="4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105,207</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Credit Watch</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1,613</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Pre-approved transactions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743</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6,909</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120"/>
              <w:spacing w:after="0" w:line="202" w:lineRule="exact"/>
              <w:rPr>
                <w:sz w:val="20"/>
                <w:szCs w:val="20"/>
                <w:color w:val="auto"/>
              </w:rPr>
            </w:pPr>
            <w:r>
              <w:rPr>
                <w:rFonts w:ascii="Arial" w:cs="Arial" w:eastAsia="Arial" w:hAnsi="Arial"/>
                <w:sz w:val="18"/>
                <w:szCs w:val="18"/>
                <w:color w:val="auto"/>
              </w:rPr>
              <w:t>Transactions suspended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3,327</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4,342</w:t>
            </w:r>
          </w:p>
        </w:tc>
        <w:tc>
          <w:tcPr>
            <w:tcW w:w="100" w:type="dxa"/>
            <w:vAlign w:val="bottom"/>
          </w:tcPr>
          <w:p>
            <w:pPr>
              <w:spacing w:after="0"/>
              <w:rPr>
                <w:sz w:val="17"/>
                <w:szCs w:val="17"/>
                <w:color w:val="auto"/>
              </w:rPr>
            </w:pPr>
          </w:p>
        </w:tc>
      </w:tr>
      <w:tr>
        <w:trPr>
          <w:trHeight w:val="236"/>
        </w:trPr>
        <w:tc>
          <w:tcPr>
            <w:tcW w:w="3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financed sales receivables</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12,520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8,251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11,671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13,696</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15,714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56,219</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118,071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3"/>
          </w:tcPr>
          <w:p>
            <w:pPr>
              <w:jc w:val="right"/>
              <w:ind w:right="475"/>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-1807845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-1790700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-1807845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-1790700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-1807845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-1790700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-1807845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-1790700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-1807845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-1807845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-1790700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-496570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-479425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-496570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-479425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-496570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-479425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-496570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-479425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-496570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-479425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-479425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jc w:val="both"/>
        <w:ind w:firstLine="224"/>
        <w:spacing w:after="0" w:line="248" w:lineRule="auto"/>
        <w:rPr>
          <w:sz w:val="20"/>
          <w:szCs w:val="20"/>
          <w:color w:val="auto"/>
        </w:rPr>
      </w:pPr>
      <w:r>
        <w:rPr>
          <w:rFonts w:ascii="Arial" w:cs="Arial" w:eastAsia="Arial" w:hAnsi="Arial"/>
          <w:sz w:val="18"/>
          <w:szCs w:val="18"/>
          <w:color w:val="auto"/>
        </w:rPr>
        <w:t>The balance of financed sale receivables classified within the Transactions Suspended category as of June 30, 2022 includes amounts due from exhibitors in Russia, Ukraine, and Belarus which were reclassified from other credit quality classifications in the first quarter of 2022 as a result of the ongoing Russia-Ukraine conflict.</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provide an aging analysis for the Company’s net investment in leases and financed sale receivables as of June 30, 2022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June 30, 2022</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30-89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30"/>
              <w:spacing w:after="0" w:line="133" w:lineRule="exact"/>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8"/>
              </w:rPr>
              <w:t>for Credit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6"/>
                <w:szCs w:val="16"/>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Days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Billed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Unbilled</w:t>
            </w:r>
          </w:p>
        </w:tc>
        <w:tc>
          <w:tcPr>
            <w:tcW w:w="120" w:type="dxa"/>
            <w:vAlign w:val="bottom"/>
          </w:tcPr>
          <w:p>
            <w:pPr>
              <w:spacing w:after="0"/>
              <w:rPr>
                <w:sz w:val="16"/>
                <w:szCs w:val="16"/>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Receivable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720" w:type="dxa"/>
            <w:vAlign w:val="bottom"/>
          </w:tcPr>
          <w:p>
            <w:pPr>
              <w:jc w:val="right"/>
              <w:ind w:right="29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1,934</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24,761</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27,401</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(688</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1,093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8,546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12,148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99,350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111,498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(11,038 )</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1,322</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2,986</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10,480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14,788</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124,111</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138,899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(11,726</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127,173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30-89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30"/>
              <w:spacing w:after="0" w:line="133" w:lineRule="exact"/>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8"/>
              </w:rPr>
              <w:t>for Credit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6"/>
                <w:szCs w:val="16"/>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Days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Billed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Unbilled</w:t>
            </w:r>
          </w:p>
        </w:tc>
        <w:tc>
          <w:tcPr>
            <w:tcW w:w="120" w:type="dxa"/>
            <w:vAlign w:val="bottom"/>
          </w:tcPr>
          <w:p>
            <w:pPr>
              <w:spacing w:after="0"/>
              <w:rPr>
                <w:sz w:val="16"/>
                <w:szCs w:val="16"/>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Receivable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720" w:type="dxa"/>
            <w:vAlign w:val="bottom"/>
          </w:tcPr>
          <w:p>
            <w:pPr>
              <w:jc w:val="right"/>
              <w:ind w:right="29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1,267</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1,648</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27,542</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29,190</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(798</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8,378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11,117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106,954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118,071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(5,414 )</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1,145</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9,645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12,765</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134,496</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147,261</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(6,212</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141,049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-1010920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-993775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-1010920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-993775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-1010920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-993775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-1010920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-993775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-1010920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-993775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-1010920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-993775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-24765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following tables provide information about the Company’s net investment in leases and financed sale receivables with billed amounts past due for which it continues to accrue finance income as of June 30, 2022 and December 31, 2021. The amounts disclosed for each credit quality classification are determined on a customer-by-customer basis and include both billed and unbilled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As of June 30, 2022</w:t>
            </w: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Allowance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8"/>
              </w:rPr>
              <w:t>for Credit</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32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6"/>
                <w:szCs w:val="16"/>
                <w:color w:val="auto"/>
              </w:rPr>
            </w:pPr>
          </w:p>
        </w:tc>
        <w:tc>
          <w:tcPr>
            <w:tcW w:w="74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Current</w:t>
            </w:r>
          </w:p>
        </w:tc>
        <w:tc>
          <w:tcPr>
            <w:tcW w:w="2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30-89 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90+ Days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Billed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Unbilled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880" w:type="dxa"/>
            <w:vAlign w:val="bottom"/>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196"/>
        </w:trPr>
        <w:tc>
          <w:tcPr>
            <w:tcW w:w="3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1,446</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2,072</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19,767</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21,584</w:t>
            </w:r>
          </w:p>
        </w:tc>
        <w:tc>
          <w:tcPr>
            <w:tcW w:w="100" w:type="dxa"/>
            <w:vAlign w:val="bottom"/>
            <w:shd w:val="clear" w:color="auto" w:fill="CFF0FC"/>
          </w:tcPr>
          <w:p>
            <w:pPr>
              <w:spacing w:after="0"/>
              <w:rPr>
                <w:sz w:val="17"/>
                <w:szCs w:val="17"/>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9,579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47,175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(1,273 )</w:t>
            </w: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55,481</w:t>
            </w:r>
          </w:p>
        </w:tc>
        <w:tc>
          <w:tcPr>
            <w:tcW w:w="100" w:type="dxa"/>
            <w:vAlign w:val="bottom"/>
          </w:tcPr>
          <w:p>
            <w:pPr>
              <w:spacing w:after="0"/>
              <w:rPr>
                <w:sz w:val="17"/>
                <w:szCs w:val="17"/>
                <w:color w:val="auto"/>
              </w:rPr>
            </w:pPr>
          </w:p>
        </w:tc>
      </w:tr>
      <w:tr>
        <w:trPr>
          <w:trHeight w:val="236"/>
        </w:trPr>
        <w:tc>
          <w:tcPr>
            <w:tcW w:w="32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6"/>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8,331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11,651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66,942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(1,528</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77,065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72"/>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535"/>
              <w:spacing w:after="0"/>
              <w:rPr>
                <w:sz w:val="20"/>
                <w:szCs w:val="20"/>
                <w:color w:val="auto"/>
              </w:rPr>
            </w:pPr>
            <w:r>
              <w:rPr>
                <w:rFonts w:ascii="Arial" w:cs="Arial" w:eastAsia="Arial" w:hAnsi="Arial"/>
                <w:sz w:val="14"/>
                <w:szCs w:val="14"/>
                <w:b w:val="1"/>
                <w:bCs w:val="1"/>
                <w:color w:val="auto"/>
                <w:w w:val="99"/>
              </w:rPr>
              <w:t>As of December 31, 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Allowance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8"/>
              </w:rPr>
              <w:t>for Credit</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32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6"/>
                <w:szCs w:val="16"/>
                <w:color w:val="auto"/>
              </w:rPr>
            </w:pPr>
          </w:p>
        </w:tc>
        <w:tc>
          <w:tcPr>
            <w:tcW w:w="74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Current</w:t>
            </w:r>
          </w:p>
        </w:tc>
        <w:tc>
          <w:tcPr>
            <w:tcW w:w="2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30-89 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90+ Days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Billed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Unbilled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880" w:type="dxa"/>
            <w:vAlign w:val="bottom"/>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196"/>
        </w:trPr>
        <w:tc>
          <w:tcPr>
            <w:tcW w:w="3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825</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1,100</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12,619</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13,543</w:t>
            </w:r>
          </w:p>
        </w:tc>
        <w:tc>
          <w:tcPr>
            <w:tcW w:w="100" w:type="dxa"/>
            <w:vAlign w:val="bottom"/>
            <w:shd w:val="clear" w:color="auto" w:fill="CFF0FC"/>
          </w:tcPr>
          <w:p>
            <w:pPr>
              <w:spacing w:after="0"/>
              <w:rPr>
                <w:sz w:val="17"/>
                <w:szCs w:val="17"/>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729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7,878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41,439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(1,413 )</w:t>
            </w: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47,904</w:t>
            </w:r>
          </w:p>
        </w:tc>
        <w:tc>
          <w:tcPr>
            <w:tcW w:w="100" w:type="dxa"/>
            <w:vAlign w:val="bottom"/>
          </w:tcPr>
          <w:p>
            <w:pPr>
              <w:spacing w:after="0"/>
              <w:rPr>
                <w:sz w:val="17"/>
                <w:szCs w:val="17"/>
                <w:color w:val="auto"/>
              </w:rPr>
            </w:pPr>
          </w:p>
        </w:tc>
      </w:tr>
      <w:tr>
        <w:trPr>
          <w:trHeight w:val="236"/>
        </w:trPr>
        <w:tc>
          <w:tcPr>
            <w:tcW w:w="32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6"/>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7,015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8,978</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54,058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(1,589</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61,447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-1010920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-993775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-1010920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-993775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-1010920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-993775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-1010920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-993775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-1010920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-993775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-1010920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-993775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-8255</wp:posOffset>
            </wp:positionV>
            <wp:extent cx="768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-25400</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-8255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June 30, 2022</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4"/>
                <w:szCs w:val="14"/>
                <w:b w:val="1"/>
                <w:bCs w:val="1"/>
                <w:color w:val="auto"/>
                <w:w w:val="92"/>
              </w:rPr>
              <w:t>As of December 31, 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9"/>
              </w:rPr>
              <w:t>Recorded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81"/>
              <w:spacing w:after="0" w:line="133" w:lineRule="exact"/>
              <w:rPr>
                <w:sz w:val="20"/>
                <w:szCs w:val="20"/>
                <w:color w:val="auto"/>
              </w:rPr>
            </w:pPr>
            <w:r>
              <w:rPr>
                <w:rFonts w:ascii="Arial" w:cs="Arial" w:eastAsia="Arial" w:hAnsi="Arial"/>
                <w:sz w:val="14"/>
                <w:szCs w:val="14"/>
                <w:b w:val="1"/>
                <w:bCs w:val="1"/>
                <w:color w:val="auto"/>
                <w:w w:val="89"/>
              </w:rPr>
              <w:t>Allowance</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Recorded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8"/>
              </w:rPr>
              <w:t>for Credit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8"/>
              </w:rPr>
              <w:t>for Credit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82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Receivable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6"/>
                <w:szCs w:val="16"/>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927</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871</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Net financed sales receivables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18,158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(9,380 )</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8,778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(2,357 )</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19,085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(9,684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9,401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9,513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(2,666</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6,847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-487680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-471170</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-487680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-471170</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-487680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-471170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-487680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-471170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-487680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-471170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jc w:val="both"/>
        <w:ind w:firstLine="224"/>
        <w:spacing w:after="0" w:line="248" w:lineRule="auto"/>
        <w:rPr>
          <w:sz w:val="20"/>
          <w:szCs w:val="20"/>
          <w:color w:val="auto"/>
        </w:rPr>
      </w:pPr>
      <w:r>
        <w:rPr>
          <w:rFonts w:ascii="Arial" w:cs="Arial" w:eastAsia="Arial" w:hAnsi="Arial"/>
          <w:sz w:val="18"/>
          <w:szCs w:val="18"/>
          <w:color w:val="auto"/>
        </w:rPr>
        <w:t>The balances of net investment in leases and financed sale receivables that are on nonaccrual status as of June 30, 2022 include amounts due from exhibitors in Russia, Ukraine, and Belarus which were placed on nonaccrual status in the first quarter of 2022 as a result of the ongoing Russia-Ukraine conflict.</w:t>
      </w:r>
    </w:p>
    <w:p>
      <w:pPr>
        <w:spacing w:after="0" w:line="155" w:lineRule="exact"/>
        <w:rPr>
          <w:sz w:val="20"/>
          <w:szCs w:val="20"/>
          <w:color w:val="auto"/>
        </w:rPr>
      </w:pPr>
    </w:p>
    <w:p>
      <w:pPr>
        <w:jc w:val="both"/>
        <w:ind w:firstLine="224"/>
        <w:spacing w:after="0" w:line="239" w:lineRule="auto"/>
        <w:rPr>
          <w:sz w:val="20"/>
          <w:szCs w:val="20"/>
          <w:color w:val="auto"/>
        </w:rPr>
      </w:pPr>
      <w:r>
        <w:rPr>
          <w:rFonts w:ascii="Arial" w:cs="Arial" w:eastAsia="Arial" w:hAnsi="Arial"/>
          <w:sz w:val="18"/>
          <w:szCs w:val="18"/>
          <w:color w:val="auto"/>
        </w:rPr>
        <w:t>For the three and six months ended June 30, 2022, the Company recognized less than $0.1 million and $0.1 million, respectively, (2021 — less than $0.1 million and $0.1 million ) in Finance Income related to the net investment in leases with billed amounts past due. For the three and six months ended June 30, 2022 and 2021, the Company did not recognize Finance Income related to the net investment in leases on nonaccrual status. For the three and six months ended June 30, 2022, the Company recognized $1.3 million and $2.0 million, respectively, (2021 — $0.7 million and $2.3 million, respectively) in Finance Income related to the financed sale receivables with billed amounts past due. For the three and six months ended June 30, 2022, the Company recognized $0.3 million and $0.5 million, respectively, (2021 — $0.1 million and $0.3 million, respectively) in Finance Income related to the financed sales receivables on nonaccrual status.</w:t>
      </w:r>
    </w:p>
    <w:p>
      <w:pPr>
        <w:spacing w:after="0" w:line="150" w:lineRule="exact"/>
        <w:rPr>
          <w:sz w:val="20"/>
          <w:szCs w:val="20"/>
          <w:color w:val="auto"/>
        </w:rPr>
      </w:pPr>
    </w:p>
    <w:p>
      <w:pPr>
        <w:ind w:right="480" w:firstLine="260"/>
        <w:spacing w:after="0" w:line="277" w:lineRule="auto"/>
        <w:rPr>
          <w:sz w:val="20"/>
          <w:szCs w:val="20"/>
          <w:color w:val="auto"/>
        </w:rPr>
      </w:pPr>
      <w:r>
        <w:rPr>
          <w:rFonts w:ascii="Arial" w:cs="Arial" w:eastAsia="Arial" w:hAnsi="Arial"/>
          <w:sz w:val="18"/>
          <w:szCs w:val="18"/>
          <w:color w:val="auto"/>
        </w:rPr>
        <w:t>The following tables summarize the activity in the allowance for credit losses related to the Company’s net investment in leases and financed sale receivables for the three and six months ended June 30, 2022 and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36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June 30, 2022</w:t>
            </w:r>
          </w:p>
        </w:tc>
        <w:tc>
          <w:tcPr>
            <w:tcW w:w="200" w:type="dxa"/>
            <w:vAlign w:val="bottom"/>
          </w:tcPr>
          <w:p>
            <w:pPr>
              <w:spacing w:after="0"/>
              <w:rPr>
                <w:sz w:val="16"/>
                <w:szCs w:val="16"/>
                <w:color w:val="auto"/>
              </w:rPr>
            </w:pPr>
          </w:p>
        </w:tc>
        <w:tc>
          <w:tcPr>
            <w:tcW w:w="32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 2022</w:t>
            </w:r>
          </w:p>
        </w:tc>
      </w:tr>
      <w:tr>
        <w:trPr>
          <w:trHeight w:val="160"/>
        </w:trPr>
        <w:tc>
          <w:tcPr>
            <w:tcW w:w="4180" w:type="dxa"/>
            <w:vAlign w:val="bottom"/>
          </w:tcPr>
          <w:p>
            <w:pPr>
              <w:spacing w:after="0"/>
              <w:rPr>
                <w:sz w:val="13"/>
                <w:szCs w:val="13"/>
                <w:color w:val="auto"/>
              </w:rPr>
            </w:pPr>
          </w:p>
        </w:tc>
        <w:tc>
          <w:tcPr>
            <w:tcW w:w="1260" w:type="dxa"/>
            <w:vAlign w:val="bottom"/>
            <w:tcBorders>
              <w:top w:val="single" w:sz="8" w:color="auto"/>
            </w:tcBorders>
          </w:tcPr>
          <w:p>
            <w:pPr>
              <w:jc w:val="center"/>
              <w:ind w:left="241"/>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15"/>
              <w:spacing w:after="0" w:line="160" w:lineRule="exact"/>
              <w:rPr>
                <w:sz w:val="20"/>
                <w:szCs w:val="20"/>
                <w:color w:val="auto"/>
              </w:rPr>
            </w:pPr>
            <w:r>
              <w:rPr>
                <w:rFonts w:ascii="Arial" w:cs="Arial" w:eastAsia="Arial" w:hAnsi="Arial"/>
                <w:sz w:val="14"/>
                <w:szCs w:val="14"/>
                <w:b w:val="1"/>
                <w:bCs w:val="1"/>
                <w:color w:val="auto"/>
                <w:w w:val="91"/>
              </w:rPr>
              <w:t>Financed</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95"/>
              <w:spacing w:after="0" w:line="160" w:lineRule="exact"/>
              <w:rPr>
                <w:sz w:val="20"/>
                <w:szCs w:val="20"/>
                <w:color w:val="auto"/>
              </w:rPr>
            </w:pPr>
            <w:r>
              <w:rPr>
                <w:rFonts w:ascii="Arial" w:cs="Arial" w:eastAsia="Arial" w:hAnsi="Arial"/>
                <w:sz w:val="14"/>
                <w:szCs w:val="14"/>
                <w:b w:val="1"/>
                <w:bCs w:val="1"/>
                <w:color w:val="auto"/>
                <w:w w:val="94"/>
              </w:rPr>
              <w:t>Financed</w:t>
            </w:r>
          </w:p>
        </w:tc>
        <w:tc>
          <w:tcPr>
            <w:tcW w:w="100" w:type="dxa"/>
            <w:vAlign w:val="bottom"/>
          </w:tcPr>
          <w:p>
            <w:pPr>
              <w:spacing w:after="0"/>
              <w:rPr>
                <w:sz w:val="13"/>
                <w:szCs w:val="13"/>
                <w:color w:val="auto"/>
              </w:rPr>
            </w:pPr>
          </w:p>
        </w:tc>
      </w:tr>
      <w:tr>
        <w:trPr>
          <w:trHeight w:val="185"/>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w w:val="87"/>
              </w:rPr>
              <w:t>in Leases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Sales Receivables</w:t>
            </w:r>
          </w:p>
        </w:tc>
        <w:tc>
          <w:tcPr>
            <w:tcW w:w="20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Sales Receivables</w:t>
            </w:r>
          </w:p>
        </w:tc>
      </w:tr>
      <w:tr>
        <w:trPr>
          <w:trHeight w:val="196"/>
        </w:trPr>
        <w:tc>
          <w:tcPr>
            <w:tcW w:w="4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260" w:type="dxa"/>
            <w:vAlign w:val="bottom"/>
            <w:tcBorders>
              <w:top w:val="single" w:sz="8" w:color="auto"/>
            </w:tcBorders>
            <w:shd w:val="clear" w:color="auto" w:fill="CFF0FC"/>
          </w:tcPr>
          <w:p>
            <w:pPr>
              <w:jc w:val="right"/>
              <w:ind w:right="108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706</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11,135</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798</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5,414</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Current period (reversal) provision, net</w:t>
            </w:r>
          </w:p>
        </w:tc>
        <w:tc>
          <w:tcPr>
            <w:tcW w:w="1260" w:type="dxa"/>
            <w:vAlign w:val="bottom"/>
          </w:tcPr>
          <w:p>
            <w:pPr>
              <w:spacing w:after="0"/>
              <w:rPr>
                <w:sz w:val="17"/>
                <w:szCs w:val="17"/>
                <w:color w:val="auto"/>
              </w:rPr>
            </w:pPr>
          </w:p>
        </w:tc>
        <w:tc>
          <w:tcPr>
            <w:tcW w:w="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(94 )</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5,775</w:t>
            </w: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Write-offs</w:t>
            </w:r>
          </w:p>
        </w:tc>
        <w:tc>
          <w:tcPr>
            <w:tcW w:w="1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7"/>
                <w:szCs w:val="17"/>
                <w:color w:val="auto"/>
              </w:rPr>
            </w:pPr>
          </w:p>
        </w:tc>
        <w:tc>
          <w:tcPr>
            <w:tcW w:w="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(17 )</w:t>
            </w:r>
          </w:p>
        </w:tc>
        <w:tc>
          <w:tcPr>
            <w:tcW w:w="200" w:type="dxa"/>
            <w:vAlign w:val="bottom"/>
          </w:tcPr>
          <w:p>
            <w:pPr>
              <w:spacing w:after="0"/>
              <w:rPr>
                <w:sz w:val="17"/>
                <w:szCs w:val="17"/>
                <w:color w:val="auto"/>
              </w:rPr>
            </w:pPr>
          </w:p>
        </w:tc>
        <w:tc>
          <w:tcPr>
            <w:tcW w:w="1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(164 )</w:t>
            </w:r>
          </w:p>
        </w:tc>
        <w:tc>
          <w:tcPr>
            <w:tcW w:w="20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(16 )</w:t>
            </w:r>
          </w:p>
        </w:tc>
        <w:tc>
          <w:tcPr>
            <w:tcW w:w="18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(151 )</w:t>
            </w:r>
          </w:p>
        </w:tc>
      </w:tr>
      <w:tr>
        <w:trPr>
          <w:trHeight w:val="236"/>
        </w:trPr>
        <w:tc>
          <w:tcPr>
            <w:tcW w:w="4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260" w:type="dxa"/>
            <w:vAlign w:val="bottom"/>
            <w:tcBorders>
              <w:top w:val="single" w:sz="8" w:color="auto"/>
              <w:bottom w:val="single" w:sz="8" w:color="auto"/>
            </w:tcBorders>
            <w:shd w:val="clear" w:color="auto" w:fill="CFF0FC"/>
          </w:tcPr>
          <w:p>
            <w:pPr>
              <w:jc w:val="right"/>
              <w:ind w:right="108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688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11,038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58"/>
        </w:trPr>
        <w:tc>
          <w:tcPr>
            <w:tcW w:w="4180" w:type="dxa"/>
            <w:vAlign w:val="bottom"/>
          </w:tcPr>
          <w:p>
            <w:pPr>
              <w:spacing w:after="0"/>
              <w:rPr>
                <w:sz w:val="24"/>
                <w:szCs w:val="24"/>
                <w:color w:val="auto"/>
              </w:rPr>
            </w:pPr>
          </w:p>
        </w:tc>
        <w:tc>
          <w:tcPr>
            <w:tcW w:w="36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June 30, 2021</w:t>
            </w:r>
          </w:p>
        </w:tc>
        <w:tc>
          <w:tcPr>
            <w:tcW w:w="200" w:type="dxa"/>
            <w:vAlign w:val="bottom"/>
          </w:tcPr>
          <w:p>
            <w:pPr>
              <w:spacing w:after="0"/>
              <w:rPr>
                <w:sz w:val="24"/>
                <w:szCs w:val="24"/>
                <w:color w:val="auto"/>
              </w:rPr>
            </w:pPr>
          </w:p>
        </w:tc>
        <w:tc>
          <w:tcPr>
            <w:tcW w:w="32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 2021</w:t>
            </w:r>
          </w:p>
        </w:tc>
      </w:tr>
      <w:tr>
        <w:trPr>
          <w:trHeight w:val="160"/>
        </w:trPr>
        <w:tc>
          <w:tcPr>
            <w:tcW w:w="4180" w:type="dxa"/>
            <w:vAlign w:val="bottom"/>
          </w:tcPr>
          <w:p>
            <w:pPr>
              <w:spacing w:after="0"/>
              <w:rPr>
                <w:sz w:val="13"/>
                <w:szCs w:val="13"/>
                <w:color w:val="auto"/>
              </w:rPr>
            </w:pPr>
          </w:p>
        </w:tc>
        <w:tc>
          <w:tcPr>
            <w:tcW w:w="1260" w:type="dxa"/>
            <w:vAlign w:val="bottom"/>
            <w:tcBorders>
              <w:top w:val="single" w:sz="8" w:color="auto"/>
            </w:tcBorders>
          </w:tcPr>
          <w:p>
            <w:pPr>
              <w:jc w:val="center"/>
              <w:ind w:left="241"/>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95"/>
              <w:spacing w:after="0" w:line="160" w:lineRule="exact"/>
              <w:rPr>
                <w:sz w:val="20"/>
                <w:szCs w:val="20"/>
                <w:color w:val="auto"/>
              </w:rPr>
            </w:pPr>
            <w:r>
              <w:rPr>
                <w:rFonts w:ascii="Arial" w:cs="Arial" w:eastAsia="Arial" w:hAnsi="Arial"/>
                <w:sz w:val="14"/>
                <w:szCs w:val="14"/>
                <w:b w:val="1"/>
                <w:bCs w:val="1"/>
                <w:color w:val="auto"/>
                <w:w w:val="93"/>
              </w:rPr>
              <w:t>Net Financed</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95"/>
              <w:spacing w:after="0" w:line="160" w:lineRule="exact"/>
              <w:rPr>
                <w:sz w:val="20"/>
                <w:szCs w:val="20"/>
                <w:color w:val="auto"/>
              </w:rPr>
            </w:pPr>
            <w:r>
              <w:rPr>
                <w:rFonts w:ascii="Arial" w:cs="Arial" w:eastAsia="Arial" w:hAnsi="Arial"/>
                <w:sz w:val="14"/>
                <w:szCs w:val="14"/>
                <w:b w:val="1"/>
                <w:bCs w:val="1"/>
                <w:color w:val="auto"/>
                <w:w w:val="93"/>
              </w:rPr>
              <w:t>Net Financed</w:t>
            </w:r>
          </w:p>
        </w:tc>
        <w:tc>
          <w:tcPr>
            <w:tcW w:w="100" w:type="dxa"/>
            <w:vAlign w:val="bottom"/>
          </w:tcPr>
          <w:p>
            <w:pPr>
              <w:spacing w:after="0"/>
              <w:rPr>
                <w:sz w:val="13"/>
                <w:szCs w:val="13"/>
                <w:color w:val="auto"/>
              </w:rPr>
            </w:pPr>
          </w:p>
        </w:tc>
      </w:tr>
      <w:tr>
        <w:trPr>
          <w:trHeight w:val="185"/>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w w:val="87"/>
              </w:rPr>
              <w:t>in Leases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Sales Receivables</w:t>
            </w:r>
          </w:p>
        </w:tc>
        <w:tc>
          <w:tcPr>
            <w:tcW w:w="20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Sales Receivables</w:t>
            </w:r>
          </w:p>
        </w:tc>
      </w:tr>
      <w:tr>
        <w:trPr>
          <w:trHeight w:val="196"/>
        </w:trPr>
        <w:tc>
          <w:tcPr>
            <w:tcW w:w="4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260" w:type="dxa"/>
            <w:vAlign w:val="bottom"/>
            <w:tcBorders>
              <w:top w:val="single" w:sz="8" w:color="auto"/>
            </w:tcBorders>
            <w:shd w:val="clear" w:color="auto" w:fill="CFF0FC"/>
          </w:tcPr>
          <w:p>
            <w:pPr>
              <w:jc w:val="right"/>
              <w:ind w:right="108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581</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7,491</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557</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7,274</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Current period (reversal) provision, net</w:t>
            </w:r>
          </w:p>
        </w:tc>
        <w:tc>
          <w:tcPr>
            <w:tcW w:w="1260" w:type="dxa"/>
            <w:vAlign w:val="bottom"/>
          </w:tcPr>
          <w:p>
            <w:pPr>
              <w:spacing w:after="0"/>
              <w:rPr>
                <w:sz w:val="17"/>
                <w:szCs w:val="17"/>
                <w:color w:val="auto"/>
              </w:rPr>
            </w:pPr>
          </w:p>
        </w:tc>
        <w:tc>
          <w:tcPr>
            <w:tcW w:w="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(7 )</w:t>
            </w:r>
          </w:p>
        </w:tc>
        <w:tc>
          <w:tcPr>
            <w:tcW w:w="200" w:type="dxa"/>
            <w:vAlign w:val="bottom"/>
          </w:tcPr>
          <w:p>
            <w:pPr>
              <w:spacing w:after="0"/>
              <w:rPr>
                <w:sz w:val="17"/>
                <w:szCs w:val="17"/>
                <w:color w:val="auto"/>
              </w:rPr>
            </w:pPr>
          </w:p>
        </w:tc>
        <w:tc>
          <w:tcPr>
            <w:tcW w:w="1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(432 )</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(205 )</w:t>
            </w:r>
          </w:p>
        </w:tc>
      </w:tr>
      <w:tr>
        <w:trPr>
          <w:trHeight w:val="203"/>
        </w:trPr>
        <w:tc>
          <w:tcPr>
            <w:tcW w:w="41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Write-offs</w:t>
            </w:r>
          </w:p>
        </w:tc>
        <w:tc>
          <w:tcPr>
            <w:tcW w:w="1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Foreign exchange</w:t>
            </w:r>
          </w:p>
        </w:tc>
        <w:tc>
          <w:tcPr>
            <w:tcW w:w="1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r>
      <w:tr>
        <w:trPr>
          <w:trHeight w:val="236"/>
        </w:trPr>
        <w:tc>
          <w:tcPr>
            <w:tcW w:w="4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260" w:type="dxa"/>
            <w:vAlign w:val="bottom"/>
            <w:tcBorders>
              <w:bottom w:val="single" w:sz="8" w:color="auto"/>
            </w:tcBorders>
            <w:shd w:val="clear" w:color="auto" w:fill="CFF0FC"/>
          </w:tcPr>
          <w:p>
            <w:pPr>
              <w:jc w:val="right"/>
              <w:ind w:right="108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579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7,113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7,113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-1182370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-1165225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-1182370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-1165225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-1182370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-1165225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For the three and six months ended June 30, 2022, the Company’s allowance for current expected credit losses related to its net investment in leases and financed sale receivables decreased by $0.1 million and increased by $5.5 million, respectively. The increase in the six months ended June 30, 2022 is principally due to reserves established against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Receivables</w:t>
      </w:r>
    </w:p>
    <w:p>
      <w:pPr>
        <w:spacing w:after="0" w:line="185"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ind w:firstLine="224"/>
        <w:spacing w:after="0" w:line="261" w:lineRule="auto"/>
        <w:rPr>
          <w:sz w:val="20"/>
          <w:szCs w:val="20"/>
          <w:color w:val="auto"/>
        </w:rPr>
      </w:pPr>
      <w:r>
        <w:rPr>
          <w:rFonts w:ascii="Arial" w:cs="Arial" w:eastAsia="Arial" w:hAnsi="Arial"/>
          <w:sz w:val="18"/>
          <w:szCs w:val="18"/>
          <w:color w:val="auto"/>
        </w:rPr>
        <w:t>The following table summarizes the activity in the allowance for credit losses related to Variable Consideration Receivables for the three and six months ended June 30, 2022 and 2021:</w:t>
      </w:r>
    </w:p>
    <w:p>
      <w:pPr>
        <w:sectPr>
          <w:pgSz w:w="11900" w:h="16838" w:orient="portrait"/>
          <w:cols w:equalWidth="0" w:num="1">
            <w:col w:w="11240"/>
          </w:cols>
          <w:pgMar w:left="320" w:top="5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of U.S. Dollars)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ind w:left="120" w:right="1820"/>
        <w:spacing w:after="0" w:line="241" w:lineRule="auto"/>
        <w:rPr>
          <w:sz w:val="20"/>
          <w:szCs w:val="20"/>
          <w:color w:val="auto"/>
        </w:rPr>
      </w:pPr>
      <w:r>
        <w:rPr>
          <w:rFonts w:ascii="Arial" w:cs="Arial" w:eastAsia="Arial" w:hAnsi="Arial"/>
          <w:sz w:val="18"/>
          <w:szCs w:val="18"/>
          <w:color w:val="auto"/>
        </w:rPr>
        <w:t>Current period provision (reversal), net Write-offs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exchange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2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5"/>
                <w:szCs w:val="15"/>
                <w:color w:val="auto"/>
              </w:rPr>
            </w:pPr>
          </w:p>
        </w:tc>
      </w:tr>
      <w:tr>
        <w:trPr>
          <w:trHeight w:val="133"/>
        </w:trPr>
        <w:tc>
          <w:tcPr>
            <w:tcW w:w="200" w:type="dxa"/>
            <w:vAlign w:val="bottom"/>
          </w:tcPr>
          <w:p>
            <w:pPr>
              <w:spacing w:after="0"/>
              <w:rPr>
                <w:sz w:val="11"/>
                <w:szCs w:val="11"/>
                <w:color w:val="auto"/>
              </w:rPr>
            </w:pPr>
          </w:p>
        </w:tc>
        <w:tc>
          <w:tcPr>
            <w:tcW w:w="102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4"/>
              </w:rPr>
              <w:t>Theater</w:t>
            </w:r>
          </w:p>
        </w:tc>
        <w:tc>
          <w:tcPr>
            <w:tcW w:w="60" w:type="dxa"/>
            <w:vAlign w:val="bottom"/>
          </w:tcPr>
          <w:p>
            <w:pPr>
              <w:spacing w:after="0"/>
              <w:rPr>
                <w:sz w:val="11"/>
                <w:szCs w:val="11"/>
                <w:color w:val="auto"/>
              </w:rPr>
            </w:pPr>
          </w:p>
        </w:tc>
      </w:tr>
      <w:tr>
        <w:trPr>
          <w:trHeight w:val="185"/>
        </w:trPr>
        <w:tc>
          <w:tcPr>
            <w:tcW w:w="2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Operators</w:t>
            </w:r>
          </w:p>
        </w:tc>
        <w:tc>
          <w:tcPr>
            <w:tcW w:w="20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Operators</w:t>
            </w:r>
          </w:p>
        </w:tc>
        <w:tc>
          <w:tcPr>
            <w:tcW w:w="22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Operators</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Operators</w:t>
            </w:r>
          </w:p>
        </w:tc>
      </w:tr>
      <w:tr>
        <w:trPr>
          <w:trHeight w:val="182"/>
        </w:trPr>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439</w:t>
            </w:r>
          </w:p>
        </w:tc>
        <w:tc>
          <w:tcPr>
            <w:tcW w:w="240" w:type="dxa"/>
            <w:vAlign w:val="bottom"/>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2,088</w:t>
            </w:r>
          </w:p>
        </w:tc>
        <w:tc>
          <w:tcPr>
            <w:tcW w:w="240" w:type="dxa"/>
            <w:vAlign w:val="bottom"/>
          </w:tcPr>
          <w:p>
            <w:pPr>
              <w:spacing w:after="0"/>
              <w:rPr>
                <w:sz w:val="15"/>
                <w:szCs w:val="15"/>
                <w:color w:val="auto"/>
              </w:rPr>
            </w:pPr>
          </w:p>
        </w:tc>
        <w:tc>
          <w:tcPr>
            <w:tcW w:w="22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1,082</w:t>
            </w:r>
          </w:p>
        </w:tc>
        <w:tc>
          <w:tcPr>
            <w:tcW w:w="24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1,887</w:t>
            </w:r>
          </w:p>
        </w:tc>
        <w:tc>
          <w:tcPr>
            <w:tcW w:w="60" w:type="dxa"/>
            <w:vAlign w:val="bottom"/>
          </w:tcPr>
          <w:p>
            <w:pPr>
              <w:spacing w:after="0"/>
              <w:rPr>
                <w:sz w:val="15"/>
                <w:szCs w:val="15"/>
                <w:color w:val="auto"/>
              </w:rPr>
            </w:pPr>
          </w:p>
        </w:tc>
      </w:tr>
      <w:tr>
        <w:trPr>
          <w:trHeight w:val="203"/>
        </w:trPr>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(38 )</w:t>
            </w:r>
          </w:p>
        </w:tc>
        <w:tc>
          <w:tcPr>
            <w:tcW w:w="22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(570 )</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6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17"/>
        </w:trPr>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(9 )</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(22 )</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196"/>
        </w:trPr>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2,028</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2,028</w:t>
            </w:r>
          </w:p>
        </w:tc>
        <w:tc>
          <w:tcPr>
            <w:tcW w:w="60" w:type="dxa"/>
            <w:vAlign w:val="bottom"/>
          </w:tcPr>
          <w:p>
            <w:pPr>
              <w:spacing w:after="0"/>
              <w:rPr>
                <w:sz w:val="17"/>
                <w:szCs w:val="17"/>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-676910</wp:posOffset>
            </wp:positionV>
            <wp:extent cx="713232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-419735</wp:posOffset>
            </wp:positionV>
            <wp:extent cx="7132320"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-153670</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4760" w:space="720"/>
            <w:col w:w="5760"/>
          </w:cols>
          <w:pgMar w:left="320" w:top="503" w:right="339" w:bottom="1440" w:gutter="0" w:footer="0" w:header="0"/>
          <w:type w:val="continuous"/>
        </w:sectPr>
      </w:pPr>
    </w:p>
    <w:p>
      <w:pPr>
        <w:jc w:val="both"/>
        <w:ind w:firstLine="224"/>
        <w:spacing w:after="0" w:line="243" w:lineRule="auto"/>
        <w:rPr>
          <w:sz w:val="20"/>
          <w:szCs w:val="20"/>
          <w:color w:val="auto"/>
        </w:rPr>
      </w:pPr>
      <w:r>
        <w:rPr>
          <w:rFonts w:ascii="Arial" w:cs="Arial" w:eastAsia="Arial" w:hAnsi="Arial"/>
          <w:sz w:val="18"/>
          <w:szCs w:val="18"/>
          <w:color w:val="auto"/>
        </w:rPr>
        <w:t>For the three and six months ended June 30, 2022, the Company’s allowance for current expected credit losses related to Variable Consideration Receivables increased by $0.1 million and decreased by $0.6 million, respectively. The decrease in the six months ended June 30, 2022 is principally due to the reversal of provisions associated with the COVID-19 pandemic as the outlook for the theatrical exhibition industry in Domestic and Rest of World markets continues to improve.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Arrangements</w:t>
      </w:r>
    </w:p>
    <w:p>
      <w:pPr>
        <w:spacing w:after="0" w:line="202"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IMAX Corporation as a Lessee</w:t>
      </w:r>
    </w:p>
    <w:p>
      <w:pPr>
        <w:spacing w:after="0" w:line="171"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7"/>
          <w:szCs w:val="17"/>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40"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7"/>
          <w:szCs w:val="17"/>
          <w:color w:val="auto"/>
        </w:rPr>
        <w:t>In the second quarter of 2022, the Company entered into a finance lease arrangement involving equipment used to facilitate the streaming of live events to IMAX theaters.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 No finance lease costs were recorded during the three and six months ended June 30, 2022 as the lease commencement dates occurred at the end of the second quarter.</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three and six months ended June 30, 2022 and 2021, the components of operating lease expense recorded within Selling, General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Pr>
          <w:p>
            <w:pPr>
              <w:spacing w:after="0"/>
              <w:rPr>
                <w:sz w:val="15"/>
                <w:szCs w:val="15"/>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4660" w:type="dxa"/>
            <w:vAlign w:val="bottom"/>
            <w:gridSpan w:val="2"/>
            <w:shd w:val="clear" w:color="auto" w:fill="CFF0FC"/>
          </w:tcPr>
          <w:p>
            <w:pPr>
              <w:ind w:left="20"/>
              <w:spacing w:after="0" w:line="195"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w:t>
            </w:r>
          </w:p>
        </w:tc>
        <w:tc>
          <w:tcPr>
            <w:tcW w:w="58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w:t>
            </w:r>
          </w:p>
        </w:tc>
        <w:tc>
          <w:tcPr>
            <w:tcW w:w="3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w:t>
            </w:r>
          </w:p>
        </w:tc>
        <w:tc>
          <w:tcPr>
            <w:tcW w:w="4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w:t>
            </w:r>
          </w:p>
        </w:tc>
        <w:tc>
          <w:tcPr>
            <w:tcW w:w="100" w:type="dxa"/>
            <w:vAlign w:val="bottom"/>
            <w:shd w:val="clear" w:color="auto" w:fill="CFF0FC"/>
          </w:tcPr>
          <w:p>
            <w:pPr>
              <w:spacing w:after="0"/>
              <w:rPr>
                <w:sz w:val="17"/>
                <w:szCs w:val="17"/>
                <w:color w:val="auto"/>
              </w:rPr>
            </w:pPr>
          </w:p>
        </w:tc>
      </w:tr>
      <w:tr>
        <w:trPr>
          <w:trHeight w:val="203"/>
        </w:trPr>
        <w:tc>
          <w:tcPr>
            <w:tcW w:w="4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Amortization of operating lease assets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1,362</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1,414</w:t>
            </w:r>
          </w:p>
        </w:tc>
        <w:tc>
          <w:tcPr>
            <w:tcW w:w="100" w:type="dxa"/>
            <w:vAlign w:val="bottom"/>
          </w:tcPr>
          <w:p>
            <w:pPr>
              <w:spacing w:after="0"/>
              <w:rPr>
                <w:sz w:val="17"/>
                <w:szCs w:val="17"/>
                <w:color w:val="auto"/>
              </w:rPr>
            </w:pPr>
          </w:p>
        </w:tc>
      </w:tr>
      <w:tr>
        <w:trPr>
          <w:trHeight w:val="203"/>
        </w:trPr>
        <w:tc>
          <w:tcPr>
            <w:tcW w:w="4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on operating lease liabilities</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w:t>
            </w:r>
          </w:p>
        </w:tc>
        <w:tc>
          <w:tcPr>
            <w:tcW w:w="58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416</w:t>
            </w:r>
          </w:p>
        </w:tc>
        <w:tc>
          <w:tcPr>
            <w:tcW w:w="4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7"/>
                <w:szCs w:val="17"/>
                <w:color w:val="auto"/>
              </w:rPr>
            </w:pPr>
          </w:p>
        </w:tc>
      </w:tr>
      <w:tr>
        <w:trPr>
          <w:trHeight w:val="196"/>
        </w:trPr>
        <w:tc>
          <w:tcPr>
            <w:tcW w:w="46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lease cost</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1,038</w:t>
            </w:r>
          </w:p>
        </w:tc>
        <w:tc>
          <w:tcPr>
            <w:tcW w:w="580" w:type="dxa"/>
            <w:vAlign w:val="bottom"/>
          </w:tcPr>
          <w:p>
            <w:pPr>
              <w:spacing w:after="0"/>
              <w:rPr>
                <w:sz w:val="17"/>
                <w:szCs w:val="17"/>
                <w:color w:val="auto"/>
              </w:rPr>
            </w:pPr>
          </w:p>
        </w:tc>
        <w:tc>
          <w:tcPr>
            <w:tcW w:w="84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1,108</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2,106</w:t>
            </w:r>
          </w:p>
        </w:tc>
        <w:tc>
          <w:tcPr>
            <w:tcW w:w="4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2,270</w:t>
            </w:r>
          </w:p>
        </w:tc>
        <w:tc>
          <w:tcPr>
            <w:tcW w:w="10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61" w:lineRule="exact"/>
        <w:rPr>
          <w:sz w:val="20"/>
          <w:szCs w:val="20"/>
          <w:color w:val="auto"/>
        </w:rPr>
      </w:pPr>
    </w:p>
    <w:p>
      <w:pPr>
        <w:ind w:left="5540" w:right="1020" w:hanging="5532"/>
        <w:spacing w:after="0" w:line="512" w:lineRule="auto"/>
        <w:tabs>
          <w:tab w:leader="none" w:pos="38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short-term leases and variable lease costs, which are not significant for the three and six months ended June 30, 2022 and 2021.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8" w:name="page19"/>
    <w:bookmarkEnd w:id="18"/>
    <w:p>
      <w:pPr>
        <w:ind w:left="240"/>
        <w:spacing w:after="0"/>
        <w:rPr>
          <w:sz w:val="20"/>
          <w:szCs w:val="20"/>
          <w:color w:val="auto"/>
        </w:rPr>
      </w:pPr>
      <w:r>
        <w:rPr>
          <w:rFonts w:ascii="Arial" w:cs="Arial" w:eastAsia="Arial" w:hAnsi="Arial"/>
          <w:sz w:val="18"/>
          <w:szCs w:val="18"/>
          <w:color w:val="auto"/>
        </w:rPr>
        <w:t>For the six months ended June 30, 2022 and 2021, supplemental cash and non-cash information related to leases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7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3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1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41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260" w:type="dxa"/>
            <w:vAlign w:val="bottom"/>
          </w:tcPr>
          <w:p>
            <w:pPr>
              <w:spacing w:after="0"/>
              <w:rPr>
                <w:sz w:val="17"/>
                <w:szCs w:val="17"/>
                <w:color w:val="auto"/>
              </w:rPr>
            </w:pPr>
          </w:p>
        </w:tc>
        <w:tc>
          <w:tcPr>
            <w:tcW w:w="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1,929</w:t>
            </w:r>
          </w:p>
        </w:tc>
        <w:tc>
          <w:tcPr>
            <w:tcW w:w="100" w:type="dxa"/>
            <w:vAlign w:val="bottom"/>
          </w:tcPr>
          <w:p>
            <w:pPr>
              <w:spacing w:after="0"/>
              <w:rPr>
                <w:sz w:val="17"/>
                <w:szCs w:val="17"/>
                <w:color w:val="auto"/>
              </w:rPr>
            </w:pPr>
          </w:p>
        </w:tc>
      </w:tr>
      <w:tr>
        <w:trPr>
          <w:trHeight w:val="203"/>
        </w:trPr>
        <w:tc>
          <w:tcPr>
            <w:tcW w:w="3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4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890</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Supplemental disclosure of noncash leasing activities: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Right-of-use assets obtained in exchange for operating lease obligations</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622</w:t>
            </w:r>
          </w:p>
        </w:tc>
        <w:tc>
          <w:tcPr>
            <w:tcW w:w="2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17"/>
                <w:szCs w:val="17"/>
                <w:color w:val="auto"/>
              </w:rPr>
            </w:pPr>
          </w:p>
        </w:tc>
      </w:tr>
      <w:tr>
        <w:trPr>
          <w:trHeight w:val="230"/>
        </w:trPr>
        <w:tc>
          <w:tcPr>
            <w:tcW w:w="7320" w:type="dxa"/>
            <w:vAlign w:val="bottom"/>
            <w:gridSpan w:val="2"/>
          </w:tcPr>
          <w:p>
            <w:pPr>
              <w:ind w:left="120"/>
              <w:spacing w:after="0"/>
              <w:rPr>
                <w:sz w:val="20"/>
                <w:szCs w:val="20"/>
                <w:color w:val="auto"/>
              </w:rPr>
            </w:pPr>
            <w:r>
              <w:rPr>
                <w:rFonts w:ascii="Arial" w:cs="Arial" w:eastAsia="Arial" w:hAnsi="Arial"/>
                <w:sz w:val="18"/>
                <w:szCs w:val="18"/>
                <w:color w:val="auto"/>
              </w:rPr>
              <w:t>Right-of-use assets obtained in exchange for finance lease obligations</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r>
      <w:tr>
        <w:trPr>
          <w:trHeight w:val="377"/>
        </w:trPr>
        <w:tc>
          <w:tcPr>
            <w:tcW w:w="9340" w:type="dxa"/>
            <w:vAlign w:val="bottom"/>
            <w:gridSpan w:val="6"/>
          </w:tcPr>
          <w:p>
            <w:pPr>
              <w:ind w:left="240"/>
              <w:spacing w:after="0"/>
              <w:rPr>
                <w:sz w:val="20"/>
                <w:szCs w:val="20"/>
                <w:color w:val="auto"/>
              </w:rPr>
            </w:pPr>
            <w:r>
              <w:rPr>
                <w:rFonts w:ascii="Arial" w:cs="Arial" w:eastAsia="Arial" w:hAnsi="Arial"/>
                <w:sz w:val="18"/>
                <w:szCs w:val="18"/>
                <w:color w:val="auto"/>
                <w:w w:val="97"/>
              </w:rPr>
              <w:t>As of June 30, 2022 and December 31, 2021, supplemental balance sheet information related to leases is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3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r>
      <w:tr>
        <w:trPr>
          <w:trHeight w:val="196"/>
        </w:trPr>
        <w:tc>
          <w:tcPr>
            <w:tcW w:w="3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180" w:type="dxa"/>
            <w:vAlign w:val="bottom"/>
            <w:shd w:val="clear" w:color="auto" w:fill="CFF0FC"/>
          </w:tcPr>
          <w:p>
            <w:pPr>
              <w:ind w:left="640"/>
              <w:spacing w:after="0" w:line="196" w:lineRule="exact"/>
              <w:rPr>
                <w:sz w:val="20"/>
                <w:szCs w:val="20"/>
                <w:color w:val="auto"/>
              </w:rPr>
            </w:pPr>
            <w:r>
              <w:rPr>
                <w:rFonts w:ascii="Arial" w:cs="Arial" w:eastAsia="Arial" w:hAnsi="Arial"/>
                <w:sz w:val="18"/>
                <w:szCs w:val="18"/>
                <w:b w:val="1"/>
                <w:bCs w:val="1"/>
                <w:color w:val="auto"/>
              </w:rPr>
              <w:t>Balance Sheet Location</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4180" w:type="dxa"/>
            <w:vAlign w:val="bottom"/>
          </w:tcPr>
          <w:p>
            <w:pPr>
              <w:ind w:left="640"/>
              <w:spacing w:after="0" w:line="202" w:lineRule="exact"/>
              <w:rPr>
                <w:sz w:val="20"/>
                <w:szCs w:val="20"/>
                <w:color w:val="auto"/>
              </w:rPr>
            </w:pPr>
            <w:r>
              <w:rPr>
                <w:rFonts w:ascii="Arial" w:cs="Arial" w:eastAsia="Arial" w:hAnsi="Arial"/>
                <w:sz w:val="18"/>
                <w:szCs w:val="18"/>
                <w:color w:val="auto"/>
              </w:rPr>
              <w:t>Property, plant and equipment</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11,342</w:t>
            </w:r>
          </w:p>
        </w:tc>
        <w:tc>
          <w:tcPr>
            <w:tcW w:w="4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12,132</w:t>
            </w:r>
          </w:p>
        </w:tc>
        <w:tc>
          <w:tcPr>
            <w:tcW w:w="100" w:type="dxa"/>
            <w:vAlign w:val="bottom"/>
          </w:tcPr>
          <w:p>
            <w:pPr>
              <w:spacing w:after="0"/>
              <w:rPr>
                <w:sz w:val="17"/>
                <w:szCs w:val="17"/>
                <w:color w:val="auto"/>
              </w:rPr>
            </w:pP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right-of-use assets</w:t>
            </w:r>
          </w:p>
        </w:tc>
        <w:tc>
          <w:tcPr>
            <w:tcW w:w="418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950</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7"/>
                <w:szCs w:val="17"/>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4180" w:type="dxa"/>
            <w:vAlign w:val="bottom"/>
          </w:tcPr>
          <w:p>
            <w:pPr>
              <w:ind w:left="640"/>
              <w:spacing w:after="0" w:line="202" w:lineRule="exact"/>
              <w:rPr>
                <w:sz w:val="20"/>
                <w:szCs w:val="20"/>
                <w:color w:val="auto"/>
              </w:rPr>
            </w:pPr>
            <w:r>
              <w:rPr>
                <w:rFonts w:ascii="Arial" w:cs="Arial" w:eastAsia="Arial" w:hAnsi="Arial"/>
                <w:sz w:val="18"/>
                <w:szCs w:val="18"/>
                <w:b w:val="1"/>
                <w:bCs w:val="1"/>
                <w:color w:val="auto"/>
              </w:rPr>
              <w:t>Balance Sheet Location</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2"/>
        </w:trPr>
        <w:tc>
          <w:tcPr>
            <w:tcW w:w="3140" w:type="dxa"/>
            <w:vAlign w:val="bottom"/>
          </w:tcPr>
          <w:p>
            <w:pPr>
              <w:ind w:left="20"/>
              <w:spacing w:after="0" w:line="162" w:lineRule="exact"/>
              <w:rPr>
                <w:sz w:val="20"/>
                <w:szCs w:val="20"/>
                <w:color w:val="auto"/>
              </w:rPr>
            </w:pPr>
            <w:r>
              <w:rPr>
                <w:rFonts w:ascii="Arial" w:cs="Arial" w:eastAsia="Arial" w:hAnsi="Arial"/>
                <w:sz w:val="18"/>
                <w:szCs w:val="18"/>
                <w:color w:val="auto"/>
              </w:rPr>
              <w:t>Operating lease liabilities</w:t>
            </w:r>
          </w:p>
        </w:tc>
        <w:tc>
          <w:tcPr>
            <w:tcW w:w="4180" w:type="dxa"/>
            <w:vAlign w:val="bottom"/>
          </w:tcPr>
          <w:p>
            <w:pPr>
              <w:ind w:left="640"/>
              <w:spacing w:after="0" w:line="162" w:lineRule="exact"/>
              <w:rPr>
                <w:sz w:val="20"/>
                <w:szCs w:val="20"/>
                <w:color w:val="auto"/>
              </w:rPr>
            </w:pPr>
            <w:r>
              <w:rPr>
                <w:rFonts w:ascii="Arial" w:cs="Arial" w:eastAsia="Arial" w:hAnsi="Arial"/>
                <w:sz w:val="18"/>
                <w:szCs w:val="18"/>
                <w:color w:val="auto"/>
              </w:rPr>
              <w:t>Accrued and other liabilities</w:t>
            </w:r>
          </w:p>
        </w:tc>
        <w:tc>
          <w:tcPr>
            <w:tcW w:w="660" w:type="dxa"/>
            <w:vAlign w:val="bottom"/>
            <w:gridSpan w:val="2"/>
          </w:tcPr>
          <w:p>
            <w:pPr>
              <w:jc w:val="right"/>
              <w:ind w:right="180"/>
              <w:spacing w:after="0" w:line="16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line="162" w:lineRule="exact"/>
              <w:rPr>
                <w:sz w:val="20"/>
                <w:szCs w:val="20"/>
                <w:color w:val="auto"/>
              </w:rPr>
            </w:pPr>
            <w:r>
              <w:rPr>
                <w:rFonts w:ascii="Arial" w:cs="Arial" w:eastAsia="Arial" w:hAnsi="Arial"/>
                <w:sz w:val="18"/>
                <w:szCs w:val="18"/>
                <w:color w:val="auto"/>
              </w:rPr>
              <w:t>13,964</w:t>
            </w:r>
          </w:p>
        </w:tc>
        <w:tc>
          <w:tcPr>
            <w:tcW w:w="440" w:type="dxa"/>
            <w:vAlign w:val="bottom"/>
            <w:gridSpan w:val="3"/>
          </w:tcPr>
          <w:p>
            <w:pPr>
              <w:jc w:val="right"/>
              <w:ind w:right="140"/>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14,691</w:t>
            </w:r>
          </w:p>
        </w:tc>
        <w:tc>
          <w:tcPr>
            <w:tcW w:w="100" w:type="dxa"/>
            <w:vAlign w:val="bottom"/>
          </w:tcPr>
          <w:p>
            <w:pPr>
              <w:spacing w:after="0"/>
              <w:rPr>
                <w:sz w:val="14"/>
                <w:szCs w:val="14"/>
                <w:color w:val="auto"/>
              </w:rPr>
            </w:pPr>
          </w:p>
        </w:tc>
      </w:tr>
      <w:tr>
        <w:trPr>
          <w:trHeight w:val="315"/>
        </w:trPr>
        <w:tc>
          <w:tcPr>
            <w:tcW w:w="3140" w:type="dxa"/>
            <w:vAlign w:val="bottom"/>
          </w:tcPr>
          <w:p>
            <w:pPr>
              <w:ind w:left="20"/>
              <w:spacing w:after="0"/>
              <w:rPr>
                <w:sz w:val="20"/>
                <w:szCs w:val="20"/>
                <w:color w:val="auto"/>
              </w:rPr>
            </w:pPr>
            <w:r>
              <w:rPr>
                <w:rFonts w:ascii="Arial" w:cs="Arial" w:eastAsia="Arial" w:hAnsi="Arial"/>
                <w:sz w:val="18"/>
                <w:szCs w:val="18"/>
                <w:color w:val="auto"/>
              </w:rPr>
              <w:t>Finance lease liabilities</w:t>
            </w:r>
            <w:r>
              <w:rPr>
                <w:rFonts w:ascii="Arial" w:cs="Arial" w:eastAsia="Arial" w:hAnsi="Arial"/>
                <w:sz w:val="24"/>
                <w:szCs w:val="24"/>
                <w:color w:val="auto"/>
                <w:vertAlign w:val="superscript"/>
              </w:rPr>
              <w:t>(1)</w:t>
            </w:r>
          </w:p>
        </w:tc>
        <w:tc>
          <w:tcPr>
            <w:tcW w:w="4180" w:type="dxa"/>
            <w:vAlign w:val="bottom"/>
          </w:tcPr>
          <w:p>
            <w:pPr>
              <w:ind w:left="640"/>
              <w:spacing w:after="0"/>
              <w:rPr>
                <w:sz w:val="20"/>
                <w:szCs w:val="20"/>
                <w:color w:val="auto"/>
              </w:rPr>
            </w:pPr>
            <w:r>
              <w:rPr>
                <w:rFonts w:ascii="Arial" w:cs="Arial" w:eastAsia="Arial" w:hAnsi="Arial"/>
                <w:sz w:val="18"/>
                <w:szCs w:val="18"/>
                <w:color w:val="auto"/>
              </w:rPr>
              <w:t>Accrued and other liabilities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Recorded net of a $0.9 million upfront payment made upon execution of the finance lease arrangement.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2022 and December 31, 2021, the weighted-average remaining lease term and weighted-average interest rate associated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533"/>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6"/>
              </w:rPr>
              <w:t>December 31,</w:t>
            </w:r>
          </w:p>
        </w:tc>
      </w:tr>
      <w:tr>
        <w:trPr>
          <w:trHeight w:val="201"/>
        </w:trPr>
        <w:tc>
          <w:tcPr>
            <w:tcW w:w="45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378"/>
        </w:trPr>
        <w:tc>
          <w:tcPr>
            <w:tcW w:w="4520" w:type="dxa"/>
            <w:vAlign w:val="bottom"/>
          </w:tcPr>
          <w:p>
            <w:pPr>
              <w:ind w:left="100"/>
              <w:spacing w:after="0"/>
              <w:rPr>
                <w:sz w:val="20"/>
                <w:szCs w:val="20"/>
                <w:color w:val="auto"/>
              </w:rPr>
            </w:pPr>
            <w:r>
              <w:rPr>
                <w:rFonts w:ascii="Arial" w:cs="Arial" w:eastAsia="Arial" w:hAnsi="Arial"/>
                <w:sz w:val="18"/>
                <w:szCs w:val="18"/>
                <w:color w:val="auto"/>
              </w:rPr>
              <w:t>Weighted-average remaining lease term (years)</w:t>
            </w: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r>
      <w:tr>
        <w:trPr>
          <w:trHeight w:val="203"/>
        </w:trPr>
        <w:tc>
          <w:tcPr>
            <w:tcW w:w="45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Weighted-average discount rate</w:t>
            </w:r>
          </w:p>
        </w:tc>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5.99</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5.97  %</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Finance leases:</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5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Weighted-average remaining lease term (years)</w:t>
            </w:r>
          </w:p>
        </w:tc>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N/A</w:t>
            </w:r>
          </w:p>
        </w:tc>
      </w:tr>
      <w:tr>
        <w:trPr>
          <w:trHeight w:val="230"/>
        </w:trPr>
        <w:tc>
          <w:tcPr>
            <w:tcW w:w="4520" w:type="dxa"/>
            <w:vAlign w:val="bottom"/>
          </w:tcPr>
          <w:p>
            <w:pPr>
              <w:ind w:left="100"/>
              <w:spacing w:after="0"/>
              <w:rPr>
                <w:sz w:val="20"/>
                <w:szCs w:val="20"/>
                <w:color w:val="auto"/>
              </w:rPr>
            </w:pPr>
            <w:r>
              <w:rPr>
                <w:rFonts w:ascii="Arial" w:cs="Arial" w:eastAsia="Arial" w:hAnsi="Arial"/>
                <w:sz w:val="18"/>
                <w:szCs w:val="18"/>
                <w:color w:val="auto"/>
              </w:rPr>
              <w:t>Weighted-average discount rate</w:t>
            </w:r>
          </w:p>
        </w:tc>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r>
      <w:tr>
        <w:trPr>
          <w:trHeight w:val="391"/>
        </w:trPr>
        <w:tc>
          <w:tcPr>
            <w:tcW w:w="9100" w:type="dxa"/>
            <w:vAlign w:val="bottom"/>
            <w:gridSpan w:val="5"/>
          </w:tcPr>
          <w:p>
            <w:pPr>
              <w:ind w:left="240"/>
              <w:spacing w:after="0"/>
              <w:rPr>
                <w:sz w:val="20"/>
                <w:szCs w:val="20"/>
                <w:color w:val="auto"/>
              </w:rPr>
            </w:pPr>
            <w:r>
              <w:rPr>
                <w:rFonts w:ascii="Arial" w:cs="Arial" w:eastAsia="Arial" w:hAnsi="Arial"/>
                <w:sz w:val="18"/>
                <w:szCs w:val="18"/>
                <w:color w:val="auto"/>
              </w:rPr>
              <w:t>As of June 30, 2022, the maturities of the Company’s operating and finance lease liabilities are as follows: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Operating Leases</w:t>
            </w: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 (six months remaining)</w:t>
            </w:r>
          </w:p>
        </w:tc>
        <w:tc>
          <w:tcPr>
            <w:tcW w:w="3060" w:type="dxa"/>
            <w:vAlign w:val="bottom"/>
            <w:gridSpan w:val="2"/>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1,575</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2,468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2,256</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2,111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2,095</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color w:val="auto"/>
              </w:rPr>
              <w:t>6,547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060" w:type="dxa"/>
            <w:vAlign w:val="bottom"/>
            <w:gridSpan w:val="2"/>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17,052</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60</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Less: interest expense</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(3,088 )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4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lease liabilities</w:t>
            </w:r>
          </w:p>
        </w:tc>
        <w:tc>
          <w:tcPr>
            <w:tcW w:w="306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13,964</w:t>
            </w: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60</w:t>
            </w:r>
          </w:p>
        </w:tc>
      </w:tr>
      <w:tr>
        <w:trPr>
          <w:trHeight w:val="615"/>
        </w:trPr>
        <w:tc>
          <w:tcPr>
            <w:tcW w:w="4520" w:type="dxa"/>
            <w:vAlign w:val="bottom"/>
          </w:tcPr>
          <w:p>
            <w:pPr>
              <w:spacing w:after="0"/>
              <w:rPr>
                <w:sz w:val="24"/>
                <w:szCs w:val="24"/>
                <w:color w:val="auto"/>
              </w:rPr>
            </w:pPr>
          </w:p>
        </w:tc>
        <w:tc>
          <w:tcPr>
            <w:tcW w:w="2920" w:type="dxa"/>
            <w:vAlign w:val="bottom"/>
          </w:tcPr>
          <w:p>
            <w:pPr>
              <w:jc w:val="right"/>
              <w:ind w:right="16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8"/>
        </w:trPr>
        <w:tc>
          <w:tcPr>
            <w:tcW w:w="452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-496570</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-479425</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IMAX Corporation as a Lessor</w:t>
      </w:r>
    </w:p>
    <w:p>
      <w:pPr>
        <w:spacing w:after="0" w:line="171"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6"/>
          <w:szCs w:val="16"/>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3(p) of the Company's audited Consolidated Financial Statements included in its 2021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43"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26"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The following lease payments are expected to be received by the Company for its sales-type leases and joint revenue sharing arrangements in each of the next five years and thereafter following the June 30, 2022 balance sheet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394"/>
              <w:spacing w:after="0"/>
              <w:rPr>
                <w:sz w:val="20"/>
                <w:szCs w:val="20"/>
                <w:color w:val="auto"/>
              </w:rPr>
            </w:pPr>
            <w:r>
              <w:rPr>
                <w:rFonts w:ascii="Arial" w:cs="Arial" w:eastAsia="Arial" w:hAnsi="Arial"/>
                <w:sz w:val="14"/>
                <w:szCs w:val="14"/>
                <w:b w:val="1"/>
                <w:bCs w:val="1"/>
                <w:color w:val="auto"/>
              </w:rPr>
              <w:t>Sales-Type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ind w:right="434"/>
              <w:spacing w:after="0"/>
              <w:rPr>
                <w:sz w:val="20"/>
                <w:szCs w:val="20"/>
                <w:color w:val="auto"/>
              </w:rPr>
            </w:pPr>
            <w:r>
              <w:rPr>
                <w:rFonts w:ascii="Arial" w:cs="Arial" w:eastAsia="Arial" w:hAnsi="Arial"/>
                <w:sz w:val="14"/>
                <w:szCs w:val="14"/>
                <w:b w:val="1"/>
                <w:bCs w:val="1"/>
                <w:color w:val="auto"/>
              </w:rPr>
              <w:t>Joint Revenue</w:t>
            </w:r>
          </w:p>
        </w:tc>
        <w:tc>
          <w:tcPr>
            <w:tcW w:w="100" w:type="dxa"/>
            <w:vAlign w:val="bottom"/>
          </w:tcPr>
          <w:p>
            <w:pPr>
              <w:spacing w:after="0"/>
              <w:rPr>
                <w:sz w:val="15"/>
                <w:szCs w:val="15"/>
                <w:color w:val="auto"/>
              </w:rPr>
            </w:pPr>
          </w:p>
        </w:tc>
      </w:tr>
      <w:tr>
        <w:trPr>
          <w:trHeight w:val="185"/>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Leases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Sharing Arrangements</w:t>
            </w:r>
          </w:p>
        </w:tc>
        <w:tc>
          <w:tcPr>
            <w:tcW w:w="100" w:type="dxa"/>
            <w:vAlign w:val="bottom"/>
          </w:tcPr>
          <w:p>
            <w:pPr>
              <w:spacing w:after="0"/>
              <w:rPr>
                <w:sz w:val="16"/>
                <w:szCs w:val="16"/>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 (six months remaining)</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1,734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3,031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17"/>
                <w:szCs w:val="17"/>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2,768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15,433</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7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28,438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4 for additional information related to the net investment in leases related to the Company’s sales-type lease arrangements.)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75"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of June 30, 2022 and December 31, 2021, Inventories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88"/>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Raw materials</w:t>
            </w:r>
          </w:p>
        </w:tc>
        <w:tc>
          <w:tcPr>
            <w:tcW w:w="1080" w:type="dxa"/>
            <w:vAlign w:val="bottom"/>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27,051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20,551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Work-in-process</w:t>
            </w:r>
          </w:p>
        </w:tc>
        <w:tc>
          <w:tcPr>
            <w:tcW w:w="10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2,816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1,406</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3,555</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1080" w:type="dxa"/>
            <w:vAlign w:val="bottom"/>
          </w:tcPr>
          <w:p>
            <w:pPr>
              <w:jc w:val="right"/>
              <w:ind w:right="879"/>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87"/>
              </w:rPr>
              <w:t>33,422</w:t>
            </w:r>
          </w:p>
        </w:tc>
        <w:tc>
          <w:tcPr>
            <w:tcW w:w="5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26,924</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-159385</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As of June 30, 2022, Inventories include finished goods of $4.5 million (December 31, 2021 —$2.6 million) for which title had passed to the customer, but the criteria for revenue recognition were not met as of the balance sheet date.</w:t>
      </w:r>
    </w:p>
    <w:p>
      <w:pPr>
        <w:spacing w:after="0" w:line="130"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During the three and six months ended June 30, 2022, the Company recorded write-downs of $0.3 million in Costs and Expenses Applicable to Technology Sales principally to reduce the carrying value of service parts held in Russia. In the three and six months ended June 30, 2021, the Company recorded write-downs of $0.1 million and $0.2 million, respectively, in Costs and Expenses Applicable to Technology Sales to reduce the carrying value of excess inventory.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Revolving Credit Facility Borrowings, Net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30, 2022 and December 31, 2021, Revolving Credit Facility Borrowings, Net includes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26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Credit Facility borrowings</w:t>
            </w:r>
          </w:p>
        </w:tc>
        <w:tc>
          <w:tcPr>
            <w:tcW w:w="1260" w:type="dxa"/>
            <w:vAlign w:val="bottom"/>
            <w:shd w:val="clear" w:color="auto" w:fill="CFF0FC"/>
          </w:tcPr>
          <w:p>
            <w:pPr>
              <w:jc w:val="right"/>
              <w:ind w:right="1059"/>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Bank of China Facility borrowings</w:t>
            </w:r>
          </w:p>
        </w:tc>
        <w:tc>
          <w:tcPr>
            <w:tcW w:w="12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3,612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HSBC Facility borrowings</w:t>
            </w:r>
          </w:p>
        </w:tc>
        <w:tc>
          <w:tcPr>
            <w:tcW w:w="126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7"/>
                <w:szCs w:val="17"/>
                <w:color w:val="auto"/>
              </w:rPr>
              <w:t>Unamortized debt issuance costs</w:t>
            </w:r>
            <w:r>
              <w:rPr>
                <w:rFonts w:ascii="Arial" w:cs="Arial" w:eastAsia="Arial" w:hAnsi="Arial"/>
                <w:sz w:val="23"/>
                <w:szCs w:val="23"/>
                <w:color w:val="auto"/>
                <w:vertAlign w:val="superscript"/>
              </w:rPr>
              <w:t>(1)</w:t>
            </w:r>
          </w:p>
        </w:tc>
        <w:tc>
          <w:tcPr>
            <w:tcW w:w="12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(1,140 )</w:t>
            </w:r>
          </w:p>
        </w:tc>
      </w:tr>
      <w:tr>
        <w:trPr>
          <w:trHeight w:val="236"/>
        </w:trPr>
        <w:tc>
          <w:tcPr>
            <w:tcW w:w="756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Revolving Credit Facility Borrowings, net</w:t>
            </w:r>
          </w:p>
        </w:tc>
        <w:tc>
          <w:tcPr>
            <w:tcW w:w="1260" w:type="dxa"/>
            <w:vAlign w:val="bottom"/>
            <w:tcBorders>
              <w:top w:val="single" w:sz="8" w:color="auto"/>
              <w:bottom w:val="single" w:sz="8" w:color="auto"/>
            </w:tcBorders>
            <w:shd w:val="clear" w:color="auto" w:fill="CFF0FC"/>
          </w:tcPr>
          <w:p>
            <w:pPr>
              <w:jc w:val="right"/>
              <w:ind w:right="1059"/>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3" w:lineRule="exact"/>
        <w:rPr>
          <w:sz w:val="20"/>
          <w:szCs w:val="20"/>
          <w:color w:val="auto"/>
        </w:rPr>
      </w:pPr>
    </w:p>
    <w:p>
      <w:pPr>
        <w:ind w:left="520" w:hanging="512"/>
        <w:spacing w:after="0" w:line="261"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June 30, 2022, unamortized debt issuance costs of $2.4 million are classified within Prepaid Expenses as there were no outstanding revolving Credit Facility borrowings as of that date.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149"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The Credit Agreement provides for a revolving borrowing capacity of $300.0 million, and also contains an uncommitted accordion feature allowing the Company to request additional borrowing capacity in an amount equal to the greater of $440.0 million and the EBITDA of the Company for the four most recently ended fiscal quarters, in the form of revolving loans and/or term loans under the incremental facility and subject to conditions set forth in the Credit Agreement.</w:t>
      </w:r>
    </w:p>
    <w:p>
      <w:pPr>
        <w:spacing w:after="0" w:line="16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Until the Company delivers the compliance certificate and financial statements for the fiscal quarter ended June 30, 2022, loans under the Credit Facility will bear interest, at the Company’s option, at (i) with respect to loans on which interest is payable by reference to the Term SOFR, Eurocurrency Rate or CDOR Rate, such rate plus a margin of 2.50%; or (ii) with respect to loans on which interest is payable by reference to the U.S. base rate or the Canadian prime rate, such rate plus a margin of 1.75%. The effective interest rate for the six months ended June 30, 2021 was 2.63%. There were no amounts drawn under the Credit Facility during the six months ended June 30,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jc w:val="both"/>
        <w:ind w:firstLine="224"/>
        <w:spacing w:after="0" w:line="262" w:lineRule="auto"/>
        <w:rPr>
          <w:sz w:val="20"/>
          <w:szCs w:val="20"/>
          <w:color w:val="auto"/>
        </w:rPr>
      </w:pPr>
      <w:r>
        <w:rPr>
          <w:rFonts w:ascii="Arial" w:cs="Arial" w:eastAsia="Arial" w:hAnsi="Arial"/>
          <w:sz w:val="17"/>
          <w:szCs w:val="17"/>
          <w:color w:val="auto"/>
        </w:rPr>
        <w:t>Following the delivery of the compliance certificate and financial statements for the fiscal quarter ended June 30, 2022, loans under the Credit Facility will bear interest, at the Company’s option, at (i) Term SOFR, Eurocurrency Rate or CDOR Rate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p>
    <w:p>
      <w:pPr>
        <w:spacing w:after="0" w:line="145"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The Credit Agreement requires that the Company maintain a maximum senior secured net leverage ratio of 3.25:1.00, which is tested on the last day of each fiscal quarter, commencing with the fiscal quarter ended June 30, 2022. In addition, 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pacing w:after="0" w:line="132"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On May 25, 2022, the Company delivered a "Designated Period" suspension notice to the Agent, and the Company, the Agent and the lenders under the Credit Agreement entered into a limited consent, which notice and limited consent evidenced and effectuated the termination of the Designated Period under the Credit Agreement. From and after the termination of the Designated Period, the $75.0 million minimum liquidity covenant in the Credit Agreement was no longer in effect.</w:t>
      </w:r>
    </w:p>
    <w:p>
      <w:pPr>
        <w:spacing w:after="0" w:line="147"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Company incurred fees of approximately $1.8 million in connection with the March 2022 amendment of the Credit Agreement, which are being amortized on a straight-line basis over the term of the Credit Agreement. In the first quarter of 2022, the Company expensed $0.4 million in unamortized deferred financing costs associated with lenders that are no longer parties to the Credit Agreement.</w:t>
      </w:r>
    </w:p>
    <w:p>
      <w:pPr>
        <w:spacing w:after="0" w:line="155"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As of June 30, 2022, there were no outstanding borrowings under the Credit Facility and the Company did not have any letters of credit or advance payment guarantees outstanding under the Credit Facility. As of December 31, 2021, there were no amounts drawn under the previous credit facility, and the Company did not have any letters of credit or advance payment guarantees outstanding under the previous credit facility.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Facility</w:t>
      </w:r>
    </w:p>
    <w:p>
      <w:pPr>
        <w:spacing w:after="0" w:line="171"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Within the Credit Facility, the Company is able to purchase foreign currency forward contracts and/or other swap arrangements. As of June 30, 2022, the net unrealized loss on the Company’s outstanding foreign currency forward contracts was $(0.1) million, representing the amount by which the notional value of these forward contracts exceeded their fair value (December 31, 2021 — net unrealized gain of $0.1 million). As of June 30, 2022, the notional value of the Company’s outstanding foreign currency forward contracts was $22.0 million (December 31, 2021 — $26.7 million).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 of China Facility</w:t>
      </w:r>
    </w:p>
    <w:p>
      <w:pPr>
        <w:spacing w:after="0" w:line="171"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In June 2022, IMAX (Shanghai) Multimedia Technology Co., Ltd. (“IMAX Shanghai”), one of the Company’s majority-owned subsidiaries in China, renewed its unsecured revolving facility with Bank of China for up to 200.0 million Chinese Renminbi (“RMB”) ($29.8 million), including RMB 10.0 million ($1.5 million) for letters of guarantee, to fund ongoing working capital requirements (the “Bank of China Facility”). The Bank of China Facility expires in September 2023.</w:t>
      </w:r>
    </w:p>
    <w:p>
      <w:pPr>
        <w:spacing w:after="0" w:line="147"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As of June 30, 2022, there were no outstanding borrowings under the Bank of China Facility and outstanding letters of guarantee were RMB 2.8 million ($0.4 million). As of December 31, 2021, outstanding Bank of China Facility borrowings were RMB 23.0 million ($3.6 million) and outstanding letters of guarantee were RMB 2.8 million ($0.5 million).</w:t>
      </w:r>
    </w:p>
    <w:p>
      <w:pPr>
        <w:spacing w:after="0" w:line="155"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As of June 30, 2022, the amount available for future borrowings under the Bank of China Facility was RMB 190.0 million ($28.3 million) and the amount available for letters of guarantee was RMB 7.2 million ($1.1 million). The amount available for future borrowings under the Bank of China Facility is not subject to a standby fee. The effective interest rate for the three and six months ended June 30, 2022 was 4.15% (2021 ― 4.35%).</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HSBC China Facility</w:t>
      </w:r>
    </w:p>
    <w:p>
      <w:pPr>
        <w:spacing w:after="0" w:line="171"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In June 2022, IMAX Shanghai entered into an unsecured revolving facility for up to RMB 200.0 million ($29.8 million) with HSBC Bank (China) Company Limited, Shanghai Branch to fund ongoing working capital requirements (the “HSBC China Facility”). As of June 30, 2022, there was no amounts drawn under the HSBC China facility and the amount available for future borrowings was RMB 200.0 million ($29.8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ind w:left="240"/>
        <w:spacing w:after="0"/>
        <w:rPr>
          <w:sz w:val="20"/>
          <w:szCs w:val="20"/>
          <w:color w:val="auto"/>
        </w:rPr>
      </w:pPr>
      <w:r>
        <w:rPr>
          <w:rFonts w:ascii="Arial" w:cs="Arial" w:eastAsia="Arial" w:hAnsi="Arial"/>
          <w:sz w:val="18"/>
          <w:szCs w:val="18"/>
          <w:i w:val="1"/>
          <w:iCs w:val="1"/>
          <w:color w:val="auto"/>
        </w:rPr>
        <w:t>NBC Facility</w:t>
      </w:r>
    </w:p>
    <w:p>
      <w:pPr>
        <w:spacing w:after="0" w:line="185"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In October 2019, the Company entered into a $5.0 million facility with National Bank of Canada (the “NBC Facility”) fully insured by Export Development Canada for use solely in conjunction with the issuance of performance guarantees and letters of credit. The NBC Facility is renewed on an annual basis. It was renewed in October 2021 for a one-year term on the same terms and conditions. The Company did not have any letters of credit or advance payment guarantees outstanding as of June 30, 2022 and December 31, 2021 under the NBC Facility.</w:t>
      </w:r>
    </w:p>
    <w:p>
      <w:pPr>
        <w:spacing w:after="0" w:line="147"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Convertible Notes, Net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30, 2022 and December 31, 2021, Convertible Notes, Net (as defined below)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Notes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230,000</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230,000</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Unamortized discounts and debt issuance costs</w:t>
            </w:r>
          </w:p>
        </w:tc>
        <w:tc>
          <w:tcPr>
            <w:tcW w:w="340" w:type="dxa"/>
            <w:vAlign w:val="bottom"/>
          </w:tcPr>
          <w:p>
            <w:pPr>
              <w:spacing w:after="0"/>
              <w:rPr>
                <w:sz w:val="17"/>
                <w:szCs w:val="17"/>
                <w:color w:val="auto"/>
              </w:rPr>
            </w:pP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(5,621 )</w:t>
            </w:r>
          </w:p>
        </w:tc>
        <w:tc>
          <w:tcPr>
            <w:tcW w:w="24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(6,359 )</w:t>
            </w: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Notes, net</w:t>
            </w: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224,379</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223,641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6"/>
          <w:szCs w:val="16"/>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paid $1.2 million of debt issuance costs associated with the Convertible Notes. The Company used a portion of the net proceeds from the issuance of the Convertible Notes to make a partial repayment of previous outstanding revolving credit facility borrowings and used the remainder for working capital or other general corporate purposes.</w:t>
      </w:r>
    </w:p>
    <w:p>
      <w:pPr>
        <w:spacing w:after="0" w:line="119"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155" w:lineRule="exact"/>
        <w:rPr>
          <w:sz w:val="20"/>
          <w:szCs w:val="20"/>
          <w:color w:val="auto"/>
        </w:rPr>
      </w:pPr>
    </w:p>
    <w:p>
      <w:pPr>
        <w:jc w:val="both"/>
        <w:ind w:firstLine="224"/>
        <w:spacing w:after="0" w:line="274" w:lineRule="auto"/>
        <w:rPr>
          <w:sz w:val="20"/>
          <w:szCs w:val="20"/>
          <w:color w:val="auto"/>
        </w:rPr>
      </w:pPr>
      <w:r>
        <w:rPr>
          <w:rFonts w:ascii="Arial" w:cs="Arial" w:eastAsia="Arial" w:hAnsi="Arial"/>
          <w:sz w:val="16"/>
          <w:szCs w:val="16"/>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23"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49"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3" w:name="page24"/>
    <w:bookmarkEnd w:id="23"/>
    <w:p>
      <w:pPr>
        <w:jc w:val="both"/>
        <w:ind w:firstLine="224"/>
        <w:spacing w:after="0" w:line="257" w:lineRule="auto"/>
        <w:rPr>
          <w:sz w:val="20"/>
          <w:szCs w:val="20"/>
          <w:color w:val="auto"/>
        </w:rPr>
      </w:pPr>
      <w:r>
        <w:rPr>
          <w:rFonts w:ascii="Arial" w:cs="Arial" w:eastAsia="Arial" w:hAnsi="Arial"/>
          <w:sz w:val="17"/>
          <w:szCs w:val="17"/>
          <w:color w:val="auto"/>
        </w:rPr>
        <w:t>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4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43"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30"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4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61" w:lineRule="exact"/>
        <w:rPr>
          <w:rFonts w:ascii="Arial" w:cs="Arial" w:eastAsia="Arial" w:hAnsi="Arial"/>
          <w:sz w:val="18"/>
          <w:szCs w:val="18"/>
          <w:b w:val="1"/>
          <w:bCs w:val="1"/>
          <w:color w:val="auto"/>
        </w:rPr>
      </w:pPr>
    </w:p>
    <w:p>
      <w:pPr>
        <w:ind w:left="600" w:hanging="368"/>
        <w:spacing w:after="0"/>
        <w:tabs>
          <w:tab w:leader="none" w:pos="60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w:t>
      </w:r>
    </w:p>
    <w:p>
      <w:pPr>
        <w:spacing w:after="0" w:line="171" w:lineRule="exact"/>
        <w:rPr>
          <w:sz w:val="20"/>
          <w:szCs w:val="20"/>
          <w:color w:val="auto"/>
        </w:rPr>
      </w:pPr>
    </w:p>
    <w:p>
      <w:pPr>
        <w:jc w:val="both"/>
        <w:ind w:firstLine="223"/>
        <w:spacing w:after="0" w:line="248" w:lineRule="auto"/>
        <w:rPr>
          <w:sz w:val="20"/>
          <w:szCs w:val="20"/>
          <w:color w:val="auto"/>
        </w:rPr>
      </w:pPr>
      <w:r>
        <w:rPr>
          <w:rFonts w:ascii="Arial" w:cs="Arial" w:eastAsia="Arial" w:hAnsi="Arial"/>
          <w:sz w:val="18"/>
          <w:szCs w:val="18"/>
          <w:color w:val="auto"/>
        </w:rPr>
        <w:t>In the ordinary course of its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55"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Contingencies and guarantees</w:t>
      </w:r>
    </w:p>
    <w:p>
      <w:pPr>
        <w:spacing w:after="0" w:line="171"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17"/>
          <w:szCs w:val="17"/>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jc w:val="both"/>
        <w:ind w:firstLine="231"/>
        <w:spacing w:after="0" w:line="252" w:lineRule="auto"/>
        <w:tabs>
          <w:tab w:leader="none" w:pos="438"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$24.8 million, inclusive of interest, as of June 30, 2022.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53" w:lineRule="exact"/>
        <w:rPr>
          <w:rFonts w:ascii="Arial" w:cs="Arial" w:eastAsia="Arial" w:hAnsi="Arial"/>
          <w:sz w:val="17"/>
          <w:szCs w:val="17"/>
          <w:color w:val="auto"/>
        </w:rPr>
      </w:pPr>
    </w:p>
    <w:p>
      <w:pPr>
        <w:jc w:val="both"/>
        <w:ind w:firstLine="231"/>
        <w:spacing w:after="0" w:line="268" w:lineRule="auto"/>
        <w:tabs>
          <w:tab w:leader="none" w:pos="505"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On February 7, 2017, the panel issued a Partial Final Award and on July 21, 2017, the panel issued a Final Award (collectively, the “Award”), which held that the parties had reached a binding settlement, and therefore the panel did not reach a decision regarding the merits of the dispute. On December 3, 2020, the District Judge entered a final judgment (the “Final Judgment”) against the Company in the total amount of $11.3 million as damages under the Award. As of December 31, 2020, the Company’s Consolidated Balance Sheets included a liability within Accrued and Other Liabilities of $11.3 million related to the Final Judgment, consisting of $7.2 million related to amounts collected from or owed to Giencourt principally in respect of theater systems that were not delivered and $4.1 million in respect of the remaining amounts owed under the Final Judgment. On June 23, 2021, the Company entered into a final settlement agreement with Giencourt to fully resolve all disputes between the parties in the United States and Ontario (the “Settlement Agreement”). In the second quarter of 2021, the Company paid Giencourt $9.5 million as required by the terms of the Settlement Agreement. As a result of the Settlement Agreement, the Final Judgment has been vacated, all litigation between the parties in all jurisdictions has been dismissed and full and final releases have been exchanged by the parties. Accordingly, upon entry in the Settlement Agreement on June 23, 2021, the remaining $1.8 million liability recorded within Accrued and Other Liabilities was reversed and a corresponding $1.8 million benefit was recorded in the Company’s Condensed Consolidated Statements of Operations within Legal Judgment and Arbitration Awards in the second quarter of 2021.</w:t>
      </w:r>
    </w:p>
    <w:p>
      <w:pPr>
        <w:spacing w:after="0" w:line="134" w:lineRule="exact"/>
        <w:rPr>
          <w:rFonts w:ascii="Arial" w:cs="Arial" w:eastAsia="Arial" w:hAnsi="Arial"/>
          <w:sz w:val="16"/>
          <w:szCs w:val="16"/>
          <w:color w:val="auto"/>
        </w:rPr>
      </w:pPr>
    </w:p>
    <w:p>
      <w:pPr>
        <w:jc w:val="both"/>
        <w:ind w:firstLine="231"/>
        <w:spacing w:after="0" w:line="248" w:lineRule="auto"/>
        <w:tabs>
          <w:tab w:leader="none" w:pos="55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41" w:lineRule="exact"/>
        <w:rPr>
          <w:rFonts w:ascii="Arial" w:cs="Arial" w:eastAsia="Arial" w:hAnsi="Arial"/>
          <w:sz w:val="18"/>
          <w:szCs w:val="18"/>
          <w:color w:val="auto"/>
        </w:rPr>
      </w:pPr>
    </w:p>
    <w:p>
      <w:pPr>
        <w:jc w:val="both"/>
        <w:ind w:firstLine="231"/>
        <w:spacing w:after="0" w:line="259" w:lineRule="auto"/>
        <w:tabs>
          <w:tab w:leader="none" w:pos="53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Financial Guarantees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Certain subsidiaries of the Company have provided significant financial guarantees to third parties under the Credit Agreement (see Note 7).</w:t>
      </w:r>
    </w:p>
    <w:p>
      <w:pPr>
        <w:spacing w:after="0" w:line="18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Product Warranties</w:t>
      </w:r>
    </w:p>
    <w:p>
      <w:pPr>
        <w:spacing w:after="0" w:line="171"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The Company’s accrual for product warranties, which is recorded within Accrued and Other Liabilities in the Condensed Consolidated Balance Sheets, was $nil as of June 30, 2022 and December 31, 2021, respectively.</w:t>
      </w:r>
    </w:p>
    <w:p>
      <w:pPr>
        <w:spacing w:after="0" w:line="144"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6"/>
          <w:szCs w:val="16"/>
          <w:b w:val="1"/>
          <w:bCs w:val="1"/>
          <w:i w:val="1"/>
          <w:iCs w:val="1"/>
          <w:color w:val="auto"/>
        </w:rPr>
        <w:t>Director and Officer Indemnifications</w:t>
      </w:r>
    </w:p>
    <w:p>
      <w:pPr>
        <w:spacing w:after="0" w:line="171"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6"/>
          <w:szCs w:val="16"/>
          <w:color w:val="auto"/>
        </w:rPr>
        <w:t xml:space="preserve">The Company’s by-laws contain an indemnification of its current directors and officers, former directors and officers, and persons who have acted at its request to be a director and/or officer of an entity in which the Company is a shareholder or creditor, to indemnify them, to the extent permitted by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against expenses (including legal fees), judgments, fines and any amounts actually and reasonably incurred by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June 30, 2022 and December 31, 2021, with respect to this indemnity.</w:t>
      </w:r>
    </w:p>
    <w:p>
      <w:pPr>
        <w:spacing w:after="0" w:line="127" w:lineRule="exact"/>
        <w:rPr>
          <w:sz w:val="20"/>
          <w:szCs w:val="20"/>
          <w:color w:val="auto"/>
        </w:rPr>
      </w:pPr>
    </w:p>
    <w:p>
      <w:pPr>
        <w:ind w:left="600" w:hanging="368"/>
        <w:spacing w:after="0"/>
        <w:tabs>
          <w:tab w:leader="none" w:pos="6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Indemnification Agreements</w:t>
      </w:r>
    </w:p>
    <w:p>
      <w:pPr>
        <w:spacing w:after="0" w:line="185"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7"/>
          <w:szCs w:val="17"/>
          <w:color w:val="auto"/>
        </w:rPr>
        <w:t>In the normal course of its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9. Condensed Consolidated Statements of Operations – Supplemental Information</w:t>
      </w:r>
    </w:p>
    <w:p>
      <w:pPr>
        <w:spacing w:after="0" w:line="189"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Selling Expenses</w:t>
      </w:r>
    </w:p>
    <w:p>
      <w:pPr>
        <w:spacing w:after="0" w:line="171"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following table summarizes the Company's selling expenses, including sales commissions and other selling expenses such as direct advertising and marketing expenses, which are recognized within Costs and Expenses Applicable to Revenues in the Condensed Consolidated Statements of Operations, for three and six months ended June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w w:val="87"/>
              </w:rPr>
              <w:t>Sales</w:t>
            </w:r>
          </w:p>
        </w:tc>
        <w:tc>
          <w:tcPr>
            <w:tcW w:w="180" w:type="dxa"/>
            <w:vAlign w:val="bottom"/>
          </w:tcPr>
          <w:p>
            <w:pPr>
              <w:spacing w:after="0"/>
              <w:rPr>
                <w:sz w:val="11"/>
                <w:szCs w:val="11"/>
                <w:color w:val="auto"/>
              </w:rPr>
            </w:pPr>
          </w:p>
        </w:tc>
        <w:tc>
          <w:tcPr>
            <w:tcW w:w="13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1180" w:type="dxa"/>
            <w:vAlign w:val="bottom"/>
          </w:tcPr>
          <w:p>
            <w:pPr>
              <w:jc w:val="center"/>
              <w:ind w:left="202"/>
              <w:spacing w:after="0" w:line="133"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Pr>
          <w:p>
            <w:pPr>
              <w:spacing w:after="0"/>
              <w:rPr>
                <w:sz w:val="16"/>
                <w:szCs w:val="16"/>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Commissions</w:t>
            </w:r>
          </w:p>
        </w:tc>
        <w:tc>
          <w:tcPr>
            <w:tcW w:w="180" w:type="dxa"/>
            <w:vAlign w:val="bottom"/>
          </w:tcPr>
          <w:p>
            <w:pPr>
              <w:spacing w:after="0"/>
              <w:rPr>
                <w:sz w:val="16"/>
                <w:szCs w:val="16"/>
                <w:color w:val="auto"/>
              </w:rPr>
            </w:pPr>
          </w:p>
        </w:tc>
        <w:tc>
          <w:tcPr>
            <w:tcW w:w="1320" w:type="dxa"/>
            <w:vAlign w:val="bottom"/>
          </w:tcPr>
          <w:p>
            <w:pPr>
              <w:jc w:val="center"/>
              <w:ind w:right="98"/>
              <w:spacing w:after="0"/>
              <w:rPr>
                <w:sz w:val="20"/>
                <w:szCs w:val="20"/>
                <w:color w:val="auto"/>
              </w:rPr>
            </w:pPr>
            <w:r>
              <w:rPr>
                <w:rFonts w:ascii="Arial" w:cs="Arial" w:eastAsia="Arial" w:hAnsi="Arial"/>
                <w:sz w:val="14"/>
                <w:szCs w:val="14"/>
                <w:b w:val="1"/>
                <w:bCs w:val="1"/>
                <w:color w:val="auto"/>
                <w:w w:val="88"/>
              </w:rPr>
              <w:t>Selling Expenses</w:t>
            </w:r>
          </w:p>
        </w:tc>
        <w:tc>
          <w:tcPr>
            <w:tcW w:w="280" w:type="dxa"/>
            <w:vAlign w:val="bottom"/>
          </w:tcPr>
          <w:p>
            <w:pPr>
              <w:spacing w:after="0"/>
              <w:rPr>
                <w:sz w:val="16"/>
                <w:szCs w:val="16"/>
                <w:color w:val="auto"/>
              </w:rPr>
            </w:pPr>
          </w:p>
        </w:tc>
        <w:tc>
          <w:tcPr>
            <w:tcW w:w="1180" w:type="dxa"/>
            <w:vAlign w:val="bottom"/>
          </w:tcPr>
          <w:p>
            <w:pPr>
              <w:jc w:val="center"/>
              <w:ind w:left="242"/>
              <w:spacing w:after="0"/>
              <w:rPr>
                <w:sz w:val="20"/>
                <w:szCs w:val="20"/>
                <w:color w:val="auto"/>
              </w:rPr>
            </w:pPr>
            <w:r>
              <w:rPr>
                <w:rFonts w:ascii="Arial" w:cs="Arial" w:eastAsia="Arial" w:hAnsi="Arial"/>
                <w:sz w:val="14"/>
                <w:szCs w:val="14"/>
                <w:b w:val="1"/>
                <w:bCs w:val="1"/>
                <w:color w:val="auto"/>
                <w:w w:val="89"/>
              </w:rPr>
              <w:t>Commissions</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auto"/>
                <w:w w:val="88"/>
              </w:rPr>
              <w:t>Selling Expenses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Technology sales</w:t>
            </w:r>
            <w:r>
              <w:rPr>
                <w:rFonts w:ascii="Arial" w:cs="Arial" w:eastAsia="Arial" w:hAnsi="Arial"/>
                <w:sz w:val="22"/>
                <w:szCs w:val="22"/>
                <w:color w:val="auto"/>
                <w:vertAlign w:val="superscript"/>
              </w:rPr>
              <w:t>(1)</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w:t>
            </w:r>
          </w:p>
        </w:tc>
        <w:tc>
          <w:tcPr>
            <w:tcW w:w="3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ind w:right="1002"/>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310</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7"/>
                <w:szCs w:val="17"/>
                <w:color w:val="auto"/>
              </w:rPr>
              <w:t>Image enhancement and maintenance services</w:t>
            </w:r>
            <w:r>
              <w:rPr>
                <w:rFonts w:ascii="Arial" w:cs="Arial" w:eastAsia="Arial" w:hAnsi="Arial"/>
                <w:sz w:val="23"/>
                <w:szCs w:val="23"/>
                <w:color w:val="auto"/>
                <w:vertAlign w:val="superscript"/>
              </w:rPr>
              <w:t>(2)</w:t>
            </w:r>
          </w:p>
        </w:tc>
        <w:tc>
          <w:tcPr>
            <w:tcW w:w="260" w:type="dxa"/>
            <w:vAlign w:val="bottom"/>
          </w:tcPr>
          <w:p>
            <w:pPr>
              <w:spacing w:after="0"/>
              <w:rPr>
                <w:sz w:val="17"/>
                <w:szCs w:val="17"/>
                <w:color w:val="auto"/>
              </w:rPr>
            </w:pPr>
          </w:p>
        </w:tc>
        <w:tc>
          <w:tcPr>
            <w:tcW w:w="1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4,850</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Technology rentals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(334 )</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(287 )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5,153</w:t>
            </w:r>
          </w:p>
        </w:tc>
        <w:tc>
          <w:tcPr>
            <w:tcW w:w="1460" w:type="dxa"/>
            <w:vAlign w:val="bottom"/>
            <w:gridSpan w:val="2"/>
          </w:tcPr>
          <w:p>
            <w:pPr>
              <w:jc w:val="right"/>
              <w:ind w:right="1002"/>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3"/>
              </w:rPr>
              <w:t>379</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w w:val="87"/>
              </w:rPr>
              <w:t>Sales</w:t>
            </w:r>
          </w:p>
        </w:tc>
        <w:tc>
          <w:tcPr>
            <w:tcW w:w="180" w:type="dxa"/>
            <w:vAlign w:val="bottom"/>
          </w:tcPr>
          <w:p>
            <w:pPr>
              <w:spacing w:after="0"/>
              <w:rPr>
                <w:sz w:val="11"/>
                <w:szCs w:val="11"/>
                <w:color w:val="auto"/>
              </w:rPr>
            </w:pPr>
          </w:p>
        </w:tc>
        <w:tc>
          <w:tcPr>
            <w:tcW w:w="13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1180" w:type="dxa"/>
            <w:vAlign w:val="bottom"/>
          </w:tcPr>
          <w:p>
            <w:pPr>
              <w:jc w:val="center"/>
              <w:ind w:left="202"/>
              <w:spacing w:after="0" w:line="133"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120" w:type="dxa"/>
            <w:vAlign w:val="bottom"/>
          </w:tcPr>
          <w:p>
            <w:pPr>
              <w:ind w:left="20"/>
              <w:spacing w:after="0" w:line="158" w:lineRule="exact"/>
              <w:rPr>
                <w:sz w:val="20"/>
                <w:szCs w:val="20"/>
                <w:color w:val="auto"/>
              </w:rPr>
            </w:pPr>
            <w:r>
              <w:rPr>
                <w:rFonts w:ascii="Arial" w:cs="Arial" w:eastAsia="Arial" w:hAnsi="Arial"/>
                <w:sz w:val="14"/>
                <w:szCs w:val="14"/>
                <w:i w:val="1"/>
                <w:iCs w:val="1"/>
                <w:color w:val="auto"/>
              </w:rPr>
              <w:t>(In thousands of U.S. Dollars)</w:t>
            </w:r>
          </w:p>
        </w:tc>
        <w:tc>
          <w:tcPr>
            <w:tcW w:w="260" w:type="dxa"/>
            <w:vAlign w:val="bottom"/>
          </w:tcPr>
          <w:p>
            <w:pPr>
              <w:spacing w:after="0"/>
              <w:rPr>
                <w:sz w:val="13"/>
                <w:szCs w:val="13"/>
                <w:color w:val="auto"/>
              </w:rPr>
            </w:pPr>
          </w:p>
        </w:tc>
        <w:tc>
          <w:tcPr>
            <w:tcW w:w="17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87"/>
              </w:rPr>
              <w:t>Commissions</w:t>
            </w:r>
          </w:p>
        </w:tc>
        <w:tc>
          <w:tcPr>
            <w:tcW w:w="180" w:type="dxa"/>
            <w:vAlign w:val="bottom"/>
          </w:tcPr>
          <w:p>
            <w:pPr>
              <w:spacing w:after="0"/>
              <w:rPr>
                <w:sz w:val="13"/>
                <w:szCs w:val="13"/>
                <w:color w:val="auto"/>
              </w:rPr>
            </w:pPr>
          </w:p>
        </w:tc>
        <w:tc>
          <w:tcPr>
            <w:tcW w:w="1320" w:type="dxa"/>
            <w:vAlign w:val="bottom"/>
          </w:tcPr>
          <w:p>
            <w:pPr>
              <w:jc w:val="center"/>
              <w:ind w:right="98"/>
              <w:spacing w:after="0" w:line="158" w:lineRule="exact"/>
              <w:rPr>
                <w:sz w:val="20"/>
                <w:szCs w:val="20"/>
                <w:color w:val="auto"/>
              </w:rPr>
            </w:pPr>
            <w:r>
              <w:rPr>
                <w:rFonts w:ascii="Arial" w:cs="Arial" w:eastAsia="Arial" w:hAnsi="Arial"/>
                <w:sz w:val="14"/>
                <w:szCs w:val="14"/>
                <w:b w:val="1"/>
                <w:bCs w:val="1"/>
                <w:color w:val="auto"/>
                <w:w w:val="88"/>
              </w:rPr>
              <w:t>Selling Expenses</w:t>
            </w:r>
          </w:p>
        </w:tc>
        <w:tc>
          <w:tcPr>
            <w:tcW w:w="280" w:type="dxa"/>
            <w:vAlign w:val="bottom"/>
          </w:tcPr>
          <w:p>
            <w:pPr>
              <w:spacing w:after="0"/>
              <w:rPr>
                <w:sz w:val="13"/>
                <w:szCs w:val="13"/>
                <w:color w:val="auto"/>
              </w:rPr>
            </w:pPr>
          </w:p>
        </w:tc>
        <w:tc>
          <w:tcPr>
            <w:tcW w:w="1180" w:type="dxa"/>
            <w:vAlign w:val="bottom"/>
          </w:tcPr>
          <w:p>
            <w:pPr>
              <w:jc w:val="center"/>
              <w:ind w:left="242"/>
              <w:spacing w:after="0" w:line="158" w:lineRule="exact"/>
              <w:rPr>
                <w:sz w:val="20"/>
                <w:szCs w:val="20"/>
                <w:color w:val="auto"/>
              </w:rPr>
            </w:pPr>
            <w:r>
              <w:rPr>
                <w:rFonts w:ascii="Arial" w:cs="Arial" w:eastAsia="Arial" w:hAnsi="Arial"/>
                <w:sz w:val="14"/>
                <w:szCs w:val="14"/>
                <w:b w:val="1"/>
                <w:bCs w:val="1"/>
                <w:color w:val="auto"/>
                <w:w w:val="89"/>
              </w:rPr>
              <w:t>Commissions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88"/>
              </w:rPr>
              <w:t>Selling Expenses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ind w:left="20"/>
              <w:spacing w:after="0" w:line="202" w:lineRule="exact"/>
              <w:rPr>
                <w:sz w:val="20"/>
                <w:szCs w:val="20"/>
                <w:color w:val="auto"/>
              </w:rPr>
            </w:pPr>
            <w:r>
              <w:rPr>
                <w:rFonts w:ascii="Arial" w:cs="Arial" w:eastAsia="Arial" w:hAnsi="Arial"/>
                <w:sz w:val="17"/>
                <w:szCs w:val="17"/>
                <w:color w:val="auto"/>
              </w:rPr>
              <w:t>Technology sales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120" w:type="dxa"/>
            <w:vAlign w:val="bottom"/>
            <w:vMerge w:val="continue"/>
          </w:tcPr>
          <w:p>
            <w:pPr>
              <w:spacing w:after="0"/>
              <w:rPr>
                <w:sz w:val="13"/>
                <w:szCs w:val="13"/>
                <w:color w:val="auto"/>
              </w:rPr>
            </w:pPr>
          </w:p>
        </w:tc>
        <w:tc>
          <w:tcPr>
            <w:tcW w:w="260" w:type="dxa"/>
            <w:vAlign w:val="bottom"/>
          </w:tcPr>
          <w:p>
            <w:pPr>
              <w:jc w:val="right"/>
              <w:ind w:right="70"/>
              <w:spacing w:after="0" w:line="15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56" w:lineRule="exact"/>
              <w:rPr>
                <w:sz w:val="20"/>
                <w:szCs w:val="20"/>
                <w:color w:val="auto"/>
              </w:rPr>
            </w:pPr>
            <w:r>
              <w:rPr>
                <w:rFonts w:ascii="Arial" w:cs="Arial" w:eastAsia="Arial" w:hAnsi="Arial"/>
                <w:sz w:val="18"/>
                <w:szCs w:val="18"/>
                <w:color w:val="auto"/>
              </w:rPr>
              <w:t>47</w:t>
            </w:r>
          </w:p>
        </w:tc>
        <w:tc>
          <w:tcPr>
            <w:tcW w:w="380" w:type="dxa"/>
            <w:vAlign w:val="bottom"/>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56" w:lineRule="exact"/>
              <w:rPr>
                <w:sz w:val="20"/>
                <w:szCs w:val="20"/>
                <w:color w:val="auto"/>
              </w:rPr>
            </w:pPr>
            <w:r>
              <w:rPr>
                <w:rFonts w:ascii="Arial" w:cs="Arial" w:eastAsia="Arial" w:hAnsi="Arial"/>
                <w:sz w:val="18"/>
                <w:szCs w:val="18"/>
                <w:color w:val="auto"/>
              </w:rPr>
              <w:t>200</w:t>
            </w:r>
          </w:p>
        </w:tc>
        <w:tc>
          <w:tcPr>
            <w:tcW w:w="280" w:type="dxa"/>
            <w:vAlign w:val="bottom"/>
            <w:vMerge w:val="continue"/>
          </w:tcPr>
          <w:p>
            <w:pPr>
              <w:spacing w:after="0"/>
              <w:rPr>
                <w:sz w:val="13"/>
                <w:szCs w:val="13"/>
                <w:color w:val="auto"/>
              </w:rPr>
            </w:pPr>
          </w:p>
        </w:tc>
        <w:tc>
          <w:tcPr>
            <w:tcW w:w="1180" w:type="dxa"/>
            <w:vAlign w:val="bottom"/>
          </w:tcPr>
          <w:p>
            <w:pPr>
              <w:jc w:val="right"/>
              <w:ind w:right="1002"/>
              <w:spacing w:after="0" w:line="156"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156" w:lineRule="exact"/>
              <w:rPr>
                <w:sz w:val="20"/>
                <w:szCs w:val="20"/>
                <w:color w:val="auto"/>
              </w:rPr>
            </w:pPr>
            <w:r>
              <w:rPr>
                <w:rFonts w:ascii="Arial" w:cs="Arial" w:eastAsia="Arial" w:hAnsi="Arial"/>
                <w:sz w:val="18"/>
                <w:szCs w:val="18"/>
                <w:color w:val="auto"/>
                <w:w w:val="93"/>
              </w:rPr>
              <w:t>442</w:t>
            </w:r>
          </w:p>
        </w:tc>
        <w:tc>
          <w:tcPr>
            <w:tcW w:w="260" w:type="dxa"/>
            <w:vAlign w:val="bottom"/>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56" w:lineRule="exact"/>
              <w:rPr>
                <w:sz w:val="20"/>
                <w:szCs w:val="20"/>
                <w:color w:val="auto"/>
              </w:rPr>
            </w:pPr>
            <w:r>
              <w:rPr>
                <w:rFonts w:ascii="Arial" w:cs="Arial" w:eastAsia="Arial" w:hAnsi="Arial"/>
                <w:sz w:val="18"/>
                <w:szCs w:val="18"/>
                <w:color w:val="auto"/>
              </w:rPr>
              <w:t>337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line="243" w:lineRule="exact"/>
              <w:rPr>
                <w:sz w:val="20"/>
                <w:szCs w:val="20"/>
                <w:color w:val="auto"/>
              </w:rPr>
            </w:pPr>
            <w:r>
              <w:rPr>
                <w:rFonts w:ascii="Arial" w:cs="Arial" w:eastAsia="Arial" w:hAnsi="Arial"/>
                <w:sz w:val="18"/>
                <w:szCs w:val="18"/>
                <w:color w:val="auto"/>
              </w:rPr>
              <w:t>Image enhancement and maintenance services</w:t>
            </w:r>
            <w:r>
              <w:rPr>
                <w:rFonts w:ascii="Arial" w:cs="Arial" w:eastAsia="Arial" w:hAnsi="Arial"/>
                <w:sz w:val="24"/>
                <w:szCs w:val="24"/>
                <w:color w:val="auto"/>
                <w:vertAlign w:val="superscript"/>
              </w:rPr>
              <w:t>(2)</w:t>
            </w:r>
          </w:p>
        </w:tc>
        <w:tc>
          <w:tcPr>
            <w:tcW w:w="260" w:type="dxa"/>
            <w:vAlign w:val="bottom"/>
          </w:tcPr>
          <w:p>
            <w:pPr>
              <w:spacing w:after="0"/>
              <w:rPr>
                <w:sz w:val="21"/>
                <w:szCs w:val="21"/>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7,765</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Technology rentals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(289 )</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730</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163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(242 )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8,695</w:t>
            </w:r>
          </w:p>
        </w:tc>
        <w:tc>
          <w:tcPr>
            <w:tcW w:w="1460" w:type="dxa"/>
            <w:vAlign w:val="bottom"/>
            <w:gridSpan w:val="2"/>
          </w:tcPr>
          <w:p>
            <w:pPr>
              <w:jc w:val="right"/>
              <w:ind w:right="1002"/>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3"/>
              </w:rPr>
              <w:t>605</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-1428115</wp:posOffset>
            </wp:positionV>
            <wp:extent cx="7747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-1428115</wp:posOffset>
            </wp:positionV>
            <wp:extent cx="685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-1428115</wp:posOffset>
            </wp:positionV>
            <wp:extent cx="685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-1428115</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-159385</wp:posOffset>
            </wp:positionV>
            <wp:extent cx="7747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-159385</wp:posOffset>
            </wp:positionV>
            <wp:extent cx="685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3" w:lineRule="exact"/>
        <w:rPr>
          <w:sz w:val="20"/>
          <w:szCs w:val="20"/>
          <w:color w:val="auto"/>
        </w:rPr>
      </w:pPr>
    </w:p>
    <w:p>
      <w:pPr>
        <w:ind w:left="520" w:hanging="512"/>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commissions paid prior to the recognition of the related revenue are deferred and recognized upon the client acceptance of the IMAX Theater System. Direct advertising and marketing costs for each theater are expensed as incurred.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Film exploitation costs, including advertising and marketing costs, are expensed as incurred.</w:t>
      </w:r>
    </w:p>
    <w:p>
      <w:pPr>
        <w:spacing w:after="0" w:line="103" w:lineRule="exact"/>
        <w:rPr>
          <w:rFonts w:ascii="Arial" w:cs="Arial" w:eastAsia="Arial" w:hAnsi="Arial"/>
          <w:sz w:val="18"/>
          <w:szCs w:val="18"/>
          <w:color w:val="auto"/>
        </w:rPr>
      </w:pPr>
    </w:p>
    <w:p>
      <w:pPr>
        <w:jc w:val="both"/>
        <w:ind w:left="520" w:hanging="512"/>
        <w:spacing w:after="0" w:line="24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commissions related to joint revenue sharing arrangements accounted for as operating leases are recognized in the month they are earned by the salesperson, which is typically the month in which the theater system is installed, and are subject to subsequent performance-based adjustments. In the second quarter of 2022, a $0.3 million reversal of accrued commissions was recorded due to such performance-based adjustments. Direct advertising and marketing costs for each theater are expensed as incurred.</w:t>
      </w:r>
    </w:p>
    <w:p>
      <w:pPr>
        <w:spacing w:after="0" w:line="147" w:lineRule="exact"/>
        <w:rPr>
          <w:rFonts w:ascii="Arial" w:cs="Arial" w:eastAsia="Arial" w:hAnsi="Arial"/>
          <w:sz w:val="18"/>
          <w:szCs w:val="18"/>
          <w:color w:val="auto"/>
        </w:rPr>
      </w:pPr>
    </w:p>
    <w:p>
      <w:pPr>
        <w:ind w:left="580" w:hanging="378"/>
        <w:spacing w:after="0"/>
        <w:tabs>
          <w:tab w:leader="none" w:pos="580" w:val="left"/>
        </w:tabs>
        <w:numPr>
          <w:ilvl w:val="1"/>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Exchange</w:t>
      </w:r>
    </w:p>
    <w:p>
      <w:pPr>
        <w:spacing w:after="0" w:line="171"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Included in Selling, General and Administrative Expenses for the three and six months ended June 30, 2022 is a net loss of $(1.7) million and $(1.9) million, respectively, (2021 — net gain of $1.1 million and $1.7 million, respectively) resulting from changes in exchange rates related to RMB denominated monetary assets and liabilities. See Note 16(c) for additional information.</w:t>
      </w:r>
    </w:p>
    <w:p>
      <w:pPr>
        <w:spacing w:after="0" w:line="155" w:lineRule="exact"/>
        <w:rPr>
          <w:sz w:val="20"/>
          <w:szCs w:val="20"/>
          <w:color w:val="auto"/>
        </w:rPr>
      </w:pPr>
    </w:p>
    <w:p>
      <w:pPr>
        <w:ind w:left="620" w:hanging="418"/>
        <w:spacing w:after="0"/>
        <w:tabs>
          <w:tab w:leader="none" w:pos="6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Arrangements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7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As of June 30, 2022, the Company has signed traditional and hybrid joint revenue sharing arrangements with 44 exhibitors (2021 — 42) for a total of 1,245 IMAX Theater Systems (2021 — 1,226), of which 923 theaters (2021 — 897) were operational and included in the network as of that date. The terms of these arrangements are similar in nature, rights, and obligations. (See Note 5 for a description of the material terms of the Company's collaborative joint revenue sharing arrangements.) The accounting policy for the Company’s joint revenue sharing arrangements is disclosed in Note 3(p) of the Company’s audited Consolidated Financial Statements in its 2021 Form 10-K.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jc w:val="both"/>
        <w:ind w:firstLine="224"/>
        <w:spacing w:after="0" w:line="262" w:lineRule="auto"/>
        <w:rPr>
          <w:sz w:val="20"/>
          <w:szCs w:val="20"/>
          <w:color w:val="auto"/>
        </w:rPr>
      </w:pPr>
      <w:r>
        <w:rPr>
          <w:rFonts w:ascii="Arial" w:cs="Arial" w:eastAsia="Arial" w:hAnsi="Arial"/>
          <w:sz w:val="17"/>
          <w:szCs w:val="17"/>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and six months ended June 30, 2022, such revenues totaled $19.0 million and $32.7 million, respectively (2021 — $8.9 million and $19.0 million, respectively). (See Note 13(a) for a disaggregated presentation of the Company’s revenues.)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w:t>
      </w:r>
    </w:p>
    <w:p>
      <w:pPr>
        <w:spacing w:after="0" w:line="171"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In an IMAX DMR arrangement, the Company receives a percentage of the box office receipts from a third party who owns the copyright to a film in exchange for converting the film into IMAX DMR format and distributing it through the IMAX network. The fee earned by the Company in a typical IMAX DMR arrangement averages approximately 12.5% of box office receipts (i.e. gross box office receipts less applicable sales taxes), except for within Greater China, where the Company receives a lower percentage of net box office receipts for certain Hollywood films.</w:t>
      </w:r>
    </w:p>
    <w:p>
      <w:pPr>
        <w:spacing w:after="0" w:line="132" w:lineRule="exact"/>
        <w:rPr>
          <w:sz w:val="20"/>
          <w:szCs w:val="20"/>
          <w:color w:val="auto"/>
        </w:rPr>
      </w:pPr>
    </w:p>
    <w:p>
      <w:pPr>
        <w:jc w:val="both"/>
        <w:ind w:firstLine="224"/>
        <w:spacing w:after="0" w:line="284" w:lineRule="auto"/>
        <w:rPr>
          <w:sz w:val="20"/>
          <w:szCs w:val="20"/>
          <w:color w:val="auto"/>
        </w:rPr>
      </w:pPr>
      <w:r>
        <w:rPr>
          <w:rFonts w:ascii="Arial" w:cs="Arial" w:eastAsia="Arial" w:hAnsi="Arial"/>
          <w:sz w:val="16"/>
          <w:szCs w:val="16"/>
          <w:color w:val="auto"/>
        </w:rPr>
        <w:t>For the three and six months ended June 30, 2022, IMAX DMR revenue was earned from the exhibition of 18 films (13 new films and 5 carryovers), and 36 films (26 new and 10 carryovers), respectively, as compared to 17 films (14 new films and 3 carryovers) and 32 films (26 new and 6 carryovers), respectively, and the re-release of classic titles throughout the IMAX theater network during the same periods of 2021. The accounting policy for the Company’s IMAX DMR arrangements is disclosed in Note 3(p) of the Company’s audited Consolidated Financial Statements in its 2021 Form 10-K.</w:t>
      </w:r>
    </w:p>
    <w:p>
      <w:pPr>
        <w:spacing w:after="0" w:line="128"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Revenue attributable to transactions arising between the Company and its customers under IMAX DMR arrangements are included in Revenues – Image Enhancement and Maintenance Services. For the three and six months ended June 30, 2022, such revenues totaled $27.6 million and $47.1 million, respectively, (2021 — $11.8 million and $23.7 million, respectively). (See Note 13(a) for a disaggregated presentation of the Company’s revenues.)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71" w:lineRule="exact"/>
        <w:rPr>
          <w:sz w:val="20"/>
          <w:szCs w:val="20"/>
          <w:color w:val="auto"/>
        </w:rPr>
      </w:pPr>
    </w:p>
    <w:p>
      <w:pPr>
        <w:jc w:val="both"/>
        <w:ind w:right="20" w:firstLine="224"/>
        <w:spacing w:after="0" w:line="248" w:lineRule="auto"/>
        <w:rPr>
          <w:sz w:val="20"/>
          <w:szCs w:val="20"/>
          <w:color w:val="auto"/>
        </w:rPr>
      </w:pPr>
      <w:r>
        <w:rPr>
          <w:rFonts w:ascii="Arial" w:cs="Arial" w:eastAsia="Arial" w:hAnsi="Arial"/>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5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As of June 30, 2022, the Company is party to one co-produced film arrangement, which represents the VIE total assets balance of $1.6 million and liabilities balance of $0.3 million and three other co-produced film arrangements, the terms of which are similar. The accounting policies relating to co-produced film arrangements are disclosed in Notes 3(b) and 3(p) of the Company’s 2021 Form 10-K.</w:t>
      </w:r>
    </w:p>
    <w:p>
      <w:pPr>
        <w:spacing w:after="0" w:line="141"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three and six months ended June 30, 2022, an expense of $0.2 million and $0.4 million, respectively (2021 — less than $0.1 million and $0.1 million, respectively) attributable to transactions between the Company and other parties involved in the production of the films have been included in Costs and Expenses Applicable to Revenues – Image Enhancement and Maintenance Services.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8" w:name="page29"/>
    <w:bookmarkEnd w:id="28"/>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 Supplemental Information</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other operating 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5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196"/>
        </w:trPr>
        <w:tc>
          <w:tcPr>
            <w:tcW w:w="74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Decrease (increase) in:</w:t>
            </w: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Financing receivables</w:t>
            </w:r>
          </w:p>
        </w:tc>
        <w:tc>
          <w:tcPr>
            <w:tcW w:w="4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7,978</w:t>
            </w:r>
          </w:p>
        </w:tc>
        <w:tc>
          <w:tcPr>
            <w:tcW w:w="260" w:type="dxa"/>
            <w:vAlign w:val="bottom"/>
          </w:tcPr>
          <w:p>
            <w:pPr>
              <w:spacing w:after="0"/>
              <w:rPr>
                <w:sz w:val="17"/>
                <w:szCs w:val="17"/>
                <w:color w:val="auto"/>
              </w:rPr>
            </w:pPr>
          </w:p>
        </w:tc>
        <w:tc>
          <w:tcPr>
            <w:tcW w:w="6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(1,163 )</w:t>
            </w:r>
          </w:p>
        </w:tc>
      </w:tr>
      <w:tr>
        <w:trPr>
          <w:trHeight w:val="203"/>
        </w:trPr>
        <w:tc>
          <w:tcPr>
            <w:tcW w:w="74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(3,203 )</w:t>
            </w:r>
          </w:p>
        </w:tc>
        <w:tc>
          <w:tcPr>
            <w:tcW w:w="6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(2,794 )</w:t>
            </w:r>
          </w:p>
        </w:tc>
      </w:tr>
      <w:tr>
        <w:trPr>
          <w:trHeight w:val="203"/>
        </w:trPr>
        <w:tc>
          <w:tcPr>
            <w:tcW w:w="7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Variable consideration receivables</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1,750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(1,233 )</w:t>
            </w:r>
          </w:p>
        </w:tc>
      </w:tr>
      <w:tr>
        <w:trPr>
          <w:trHeight w:val="203"/>
        </w:trPr>
        <w:tc>
          <w:tcPr>
            <w:tcW w:w="74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Increase (decrease) in:</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3,865</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(5,521 )</w:t>
            </w:r>
          </w:p>
        </w:tc>
      </w:tr>
      <w:tr>
        <w:trPr>
          <w:trHeight w:val="203"/>
        </w:trPr>
        <w:tc>
          <w:tcPr>
            <w:tcW w:w="7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Accrued and other liabilities</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(18,112 )</w:t>
            </w:r>
          </w:p>
        </w:tc>
        <w:tc>
          <w:tcPr>
            <w:tcW w:w="6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(6,860 )</w:t>
            </w:r>
          </w:p>
        </w:tc>
      </w:tr>
      <w:tr>
        <w:trPr>
          <w:trHeight w:val="236"/>
        </w:trPr>
        <w:tc>
          <w:tcPr>
            <w:tcW w:w="1500" w:type="dxa"/>
            <w:vAlign w:val="bottom"/>
            <w:tcBorders>
              <w:bottom w:val="single" w:sz="8" w:color="CFF0FC"/>
            </w:tcBorders>
            <w:shd w:val="clear" w:color="auto" w:fill="CFF0FC"/>
          </w:tcPr>
          <w:p>
            <w:pPr>
              <w:spacing w:after="0"/>
              <w:rPr>
                <w:sz w:val="20"/>
                <w:szCs w:val="20"/>
                <w:color w:val="auto"/>
              </w:rPr>
            </w:pPr>
          </w:p>
        </w:tc>
        <w:tc>
          <w:tcPr>
            <w:tcW w:w="59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72"/>
        </w:trPr>
        <w:tc>
          <w:tcPr>
            <w:tcW w:w="748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(b)  Depreciation and amortization</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15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15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4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Film assets</w:t>
            </w: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7,878</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5,543</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Equipment supporting joint revenue sharing arrangements</w:t>
            </w: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11,078</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11,291</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gridSpan w:val="2"/>
          </w:tcPr>
          <w:p>
            <w:pPr>
              <w:ind w:left="120"/>
              <w:spacing w:after="0" w:line="202" w:lineRule="exact"/>
              <w:rPr>
                <w:sz w:val="20"/>
                <w:szCs w:val="20"/>
                <w:color w:val="auto"/>
              </w:rPr>
            </w:pPr>
            <w:r>
              <w:rPr>
                <w:rFonts w:ascii="Arial" w:cs="Arial" w:eastAsia="Arial" w:hAnsi="Arial"/>
                <w:sz w:val="17"/>
                <w:szCs w:val="17"/>
                <w:color w:val="auto"/>
              </w:rPr>
              <w:t>Other property, plant and equipment</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4,213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4,877</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Other intangible assets</w:t>
            </w:r>
            <w:r>
              <w:rPr>
                <w:rFonts w:ascii="Arial" w:cs="Arial" w:eastAsia="Arial" w:hAnsi="Arial"/>
                <w:sz w:val="23"/>
                <w:szCs w:val="23"/>
                <w:color w:val="auto"/>
                <w:vertAlign w:val="superscript"/>
              </w:rPr>
              <w:t>(2)</w:t>
            </w: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2,961</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2,986</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Other assets</w:t>
            </w:r>
            <w:r>
              <w:rPr>
                <w:rFonts w:ascii="Arial" w:cs="Arial" w:eastAsia="Arial" w:hAnsi="Arial"/>
                <w:sz w:val="23"/>
                <w:szCs w:val="23"/>
                <w:color w:val="auto"/>
                <w:vertAlign w:val="superscript"/>
              </w:rPr>
              <w:t>(3)</w:t>
            </w: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893</w:t>
            </w: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974</w:t>
            </w:r>
          </w:p>
        </w:tc>
        <w:tc>
          <w:tcPr>
            <w:tcW w:w="100" w:type="dxa"/>
            <w:vAlign w:val="bottom"/>
          </w:tcPr>
          <w:p>
            <w:pPr>
              <w:spacing w:after="0"/>
              <w:rPr>
                <w:sz w:val="17"/>
                <w:szCs w:val="17"/>
                <w:color w:val="auto"/>
              </w:rPr>
            </w:pPr>
          </w:p>
        </w:tc>
      </w:tr>
      <w:tr>
        <w:trPr>
          <w:trHeight w:val="236"/>
        </w:trPr>
        <w:tc>
          <w:tcPr>
            <w:tcW w:w="1500" w:type="dxa"/>
            <w:vAlign w:val="bottom"/>
            <w:tcBorders>
              <w:bottom w:val="single" w:sz="8" w:color="CFF0FC"/>
            </w:tcBorders>
            <w:shd w:val="clear" w:color="auto" w:fill="CFF0FC"/>
          </w:tcPr>
          <w:p>
            <w:pPr>
              <w:spacing w:after="0"/>
              <w:rPr>
                <w:sz w:val="20"/>
                <w:szCs w:val="20"/>
                <w:color w:val="auto"/>
              </w:rPr>
            </w:pPr>
          </w:p>
        </w:tc>
        <w:tc>
          <w:tcPr>
            <w:tcW w:w="59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27,023</w:t>
            </w: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-1851025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-1833880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-153670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left="380" w:hanging="372"/>
        <w:spacing w:after="0" w:line="26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amortization of laser projection systems, camera, and lens upgrades recorded in Research and Development on the Condensed Consolidated Statement of Operations of $0.3 million in the six months ended June 30, 2022 (2021 — $0.4 million).</w:t>
      </w:r>
    </w:p>
    <w:p>
      <w:pPr>
        <w:spacing w:after="0" w:line="157"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amortization of licenses and intellectual property recorded in Research and Development on the Condensed Consolidated Statement of Operations of $0.6 million in the six months ended June 30, 2022 (2021 — $0.6 million).</w:t>
      </w:r>
    </w:p>
    <w:p>
      <w:pPr>
        <w:spacing w:after="0" w:line="14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amortization of lessee incentives provided by the Company to its customers under joint revenue sharing arrangements.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Write-downs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5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340" w:type="dxa"/>
            <w:vAlign w:val="bottom"/>
            <w:gridSpan w:val="2"/>
            <w:shd w:val="clear" w:color="auto" w:fill="CFF0FC"/>
          </w:tcPr>
          <w:p>
            <w:pPr>
              <w:ind w:left="20"/>
              <w:spacing w:after="0" w:line="195" w:lineRule="exact"/>
              <w:rPr>
                <w:sz w:val="20"/>
                <w:szCs w:val="20"/>
                <w:color w:val="auto"/>
              </w:rPr>
            </w:pPr>
            <w:r>
              <w:rPr>
                <w:rFonts w:ascii="Arial" w:cs="Arial" w:eastAsia="Arial" w:hAnsi="Arial"/>
                <w:sz w:val="17"/>
                <w:szCs w:val="17"/>
                <w:color w:val="auto"/>
              </w:rPr>
              <w:t>Other assets</w:t>
            </w:r>
            <w:r>
              <w:rPr>
                <w:rFonts w:ascii="Arial" w:cs="Arial" w:eastAsia="Arial" w:hAnsi="Arial"/>
                <w:sz w:val="22"/>
                <w:szCs w:val="22"/>
                <w:color w:val="auto"/>
                <w:vertAlign w:val="superscript"/>
              </w:rPr>
              <w:t>(1)</w:t>
            </w: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4,470</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734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Inventories</w:t>
            </w:r>
            <w:r>
              <w:rPr>
                <w:rFonts w:ascii="Arial" w:cs="Arial" w:eastAsia="Arial" w:hAnsi="Arial"/>
                <w:sz w:val="23"/>
                <w:szCs w:val="23"/>
                <w:color w:val="auto"/>
                <w:vertAlign w:val="superscript"/>
              </w:rPr>
              <w:t>(2)</w:t>
            </w:r>
          </w:p>
        </w:tc>
        <w:tc>
          <w:tcPr>
            <w:tcW w:w="4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r>
      <w:tr>
        <w:trPr>
          <w:trHeight w:val="203"/>
        </w:trPr>
        <w:tc>
          <w:tcPr>
            <w:tcW w:w="73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4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40" w:type="dxa"/>
            <w:vAlign w:val="bottom"/>
            <w:gridSpan w:val="2"/>
          </w:tcPr>
          <w:p>
            <w:pPr>
              <w:ind w:left="120"/>
              <w:spacing w:after="0" w:line="202" w:lineRule="exact"/>
              <w:rPr>
                <w:sz w:val="20"/>
                <w:szCs w:val="20"/>
                <w:color w:val="auto"/>
              </w:rPr>
            </w:pPr>
            <w:r>
              <w:rPr>
                <w:rFonts w:ascii="Arial" w:cs="Arial" w:eastAsia="Arial" w:hAnsi="Arial"/>
                <w:sz w:val="17"/>
                <w:szCs w:val="17"/>
                <w:color w:val="auto"/>
              </w:rPr>
              <w:t>Equipment supporting joint revenue sharing arrangements</w:t>
            </w:r>
            <w:r>
              <w:rPr>
                <w:rFonts w:ascii="Arial" w:cs="Arial" w:eastAsia="Arial" w:hAnsi="Arial"/>
                <w:sz w:val="23"/>
                <w:szCs w:val="23"/>
                <w:color w:val="auto"/>
                <w:vertAlign w:val="superscript"/>
              </w:rPr>
              <w:t>(3)</w:t>
            </w:r>
          </w:p>
        </w:tc>
        <w:tc>
          <w:tcPr>
            <w:tcW w:w="4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00" w:type="dxa"/>
            <w:vAlign w:val="bottom"/>
          </w:tcPr>
          <w:p>
            <w:pPr>
              <w:spacing w:after="0"/>
              <w:rPr>
                <w:sz w:val="17"/>
                <w:szCs w:val="17"/>
                <w:color w:val="auto"/>
              </w:rPr>
            </w:pPr>
          </w:p>
        </w:tc>
      </w:tr>
      <w:tr>
        <w:trPr>
          <w:trHeight w:val="203"/>
        </w:trPr>
        <w:tc>
          <w:tcPr>
            <w:tcW w:w="734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property, plant and equipment</w:t>
            </w:r>
          </w:p>
        </w:tc>
        <w:tc>
          <w:tcPr>
            <w:tcW w:w="4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(23 )</w:t>
            </w:r>
          </w:p>
        </w:tc>
      </w:tr>
      <w:tr>
        <w:trPr>
          <w:trHeight w:val="203"/>
        </w:trPr>
        <w:tc>
          <w:tcPr>
            <w:tcW w:w="734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Film assets</w:t>
            </w:r>
            <w:r>
              <w:rPr>
                <w:rFonts w:ascii="Arial" w:cs="Arial" w:eastAsia="Arial" w:hAnsi="Arial"/>
                <w:sz w:val="23"/>
                <w:szCs w:val="23"/>
                <w:color w:val="auto"/>
                <w:vertAlign w:val="superscript"/>
              </w:rPr>
              <w:t>(4)</w:t>
            </w:r>
          </w:p>
        </w:tc>
        <w:tc>
          <w:tcPr>
            <w:tcW w:w="4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(44 )</w:t>
            </w:r>
          </w:p>
        </w:tc>
      </w:tr>
      <w:tr>
        <w:trPr>
          <w:trHeight w:val="236"/>
        </w:trPr>
        <w:tc>
          <w:tcPr>
            <w:tcW w:w="1500" w:type="dxa"/>
            <w:vAlign w:val="bottom"/>
            <w:tcBorders>
              <w:top w:val="single" w:sz="8" w:color="CFF0FC"/>
              <w:bottom w:val="single" w:sz="8" w:color="CFF0FC"/>
            </w:tcBorders>
            <w:shd w:val="clear" w:color="auto" w:fill="CFF0FC"/>
          </w:tcPr>
          <w:p>
            <w:pPr>
              <w:spacing w:after="0"/>
              <w:rPr>
                <w:sz w:val="20"/>
                <w:szCs w:val="20"/>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5,432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-153670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-307975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the six months ended June 30, 2022, the Company recognized a full impairment of its RMB 30.0 million ($4.5 million) investment in the film </w:t>
      </w:r>
      <w:r>
        <w:rPr>
          <w:rFonts w:ascii="Arial" w:cs="Arial" w:eastAsia="Arial" w:hAnsi="Arial"/>
          <w:sz w:val="18"/>
          <w:szCs w:val="18"/>
          <w:i w:val="1"/>
          <w:iCs w:val="1"/>
          <w:color w:val="auto"/>
        </w:rPr>
        <w:t xml:space="preserve">Mozart from Space </w:t>
      </w:r>
      <w:r>
        <w:rPr>
          <w:rFonts w:ascii="Arial" w:cs="Arial" w:eastAsia="Arial" w:hAnsi="Arial"/>
          <w:sz w:val="18"/>
          <w:szCs w:val="18"/>
          <w:color w:val="auto"/>
        </w:rPr>
        <w:t>(2021 — $nil) based on projected box office results and distribution costs. (See Note 16(e).)</w:t>
      </w:r>
    </w:p>
    <w:p>
      <w:pPr>
        <w:spacing w:after="0" w:line="130" w:lineRule="exact"/>
        <w:rPr>
          <w:rFonts w:ascii="Arial" w:cs="Arial" w:eastAsia="Arial" w:hAnsi="Arial"/>
          <w:sz w:val="18"/>
          <w:szCs w:val="18"/>
          <w:color w:val="auto"/>
        </w:rPr>
      </w:pPr>
    </w:p>
    <w:p>
      <w:pPr>
        <w:jc w:val="both"/>
        <w:ind w:left="380" w:hanging="372"/>
        <w:spacing w:after="0" w:line="270"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six months ended June 30, 2022, the Company recorded write-downs of $0.3 million in Costs and Expenses Applicable to Technology Sales principally to reduce the carrying value of service parts held in Russia. In the six months ended June 30, 2021, the Company recorded write-downs of $0.2 million in Costs and Expenses Applicable to Technology Sales to reduce the carrying value of excess inventory.</w:t>
      </w:r>
    </w:p>
    <w:p>
      <w:pPr>
        <w:spacing w:after="0" w:line="123" w:lineRule="exact"/>
        <w:rPr>
          <w:rFonts w:ascii="Arial" w:cs="Arial" w:eastAsia="Arial" w:hAnsi="Arial"/>
          <w:sz w:val="17"/>
          <w:szCs w:val="17"/>
          <w:color w:val="auto"/>
        </w:rPr>
      </w:pPr>
    </w:p>
    <w:p>
      <w:pPr>
        <w:jc w:val="both"/>
        <w:ind w:left="380" w:hanging="372"/>
        <w:spacing w:after="0" w:line="248"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six months ended June 30, 2022, the Company recorded charges of $0.2 million (2021 — $0.3 million) in Costs and Expenses Applicable to Technology Rentals mostly related to a removed IMAX Theater System, as well as the write-down of leased xenon-based digital systems which were taken out of service in connection with customer upgrades to laser-based digital systems.</w:t>
      </w:r>
    </w:p>
    <w:p>
      <w:pPr>
        <w:spacing w:after="0" w:line="154"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six months ended June 30, 2022, the Company recorded impairment losses of $0.5 million (2021 — $nil) related to the write-down of DMR and documentary film assets.</w:t>
      </w:r>
    </w:p>
    <w:p>
      <w:pPr>
        <w:spacing w:after="0" w:line="130" w:lineRule="exact"/>
        <w:rPr>
          <w:rFonts w:ascii="Arial" w:cs="Arial" w:eastAsia="Arial" w:hAnsi="Arial"/>
          <w:sz w:val="18"/>
          <w:szCs w:val="18"/>
          <w:color w:val="auto"/>
        </w:rPr>
      </w:pPr>
    </w:p>
    <w:p>
      <w:pPr>
        <w:ind w:left="600" w:hanging="368"/>
        <w:spacing w:after="0"/>
        <w:tabs>
          <w:tab w:leader="none" w:pos="600" w:val="left"/>
        </w:tabs>
        <w:numPr>
          <w:ilvl w:val="1"/>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non-cash investing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7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accruals related to:</w:t>
            </w:r>
          </w:p>
        </w:tc>
        <w:tc>
          <w:tcPr>
            <w:tcW w:w="4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Investment in equipment supporting joint revenue sharing arrangements</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409</w:t>
            </w:r>
          </w:p>
        </w:tc>
        <w:tc>
          <w:tcPr>
            <w:tcW w:w="900" w:type="dxa"/>
            <w:vAlign w:val="bottom"/>
            <w:gridSpan w:val="2"/>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r>
      <w:tr>
        <w:trPr>
          <w:trHeight w:val="203"/>
        </w:trPr>
        <w:tc>
          <w:tcPr>
            <w:tcW w:w="7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Acquisition of other intangible assets</w:t>
            </w:r>
          </w:p>
        </w:tc>
        <w:tc>
          <w:tcPr>
            <w:tcW w:w="4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(848 )</w:t>
            </w:r>
          </w:p>
        </w:tc>
      </w:tr>
      <w:tr>
        <w:trPr>
          <w:trHeight w:val="196"/>
        </w:trPr>
        <w:tc>
          <w:tcPr>
            <w:tcW w:w="734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452</w:t>
            </w:r>
          </w:p>
        </w:tc>
        <w:tc>
          <w:tcPr>
            <w:tcW w:w="2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Significant non-cash financing activities</w:t>
      </w:r>
    </w:p>
    <w:p>
      <w:pPr>
        <w:spacing w:after="0" w:line="198"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In the six months ended June 30, 2022, the Company declared a dividend to non-controlling interests of $2.6 million, which was paid in July 2022 and was recorded on the Condensed Consolidated Balance Sheets within Accrued and Other Liabilities as of June 30, 2022.</w:t>
      </w:r>
    </w:p>
    <w:p>
      <w:pPr>
        <w:spacing w:after="0" w:line="157" w:lineRule="exact"/>
        <w:rPr>
          <w:sz w:val="20"/>
          <w:szCs w:val="20"/>
          <w:color w:val="auto"/>
        </w:rPr>
      </w:pPr>
    </w:p>
    <w:p>
      <w:pPr>
        <w:jc w:val="both"/>
        <w:ind w:firstLine="224"/>
        <w:spacing w:after="0" w:line="324" w:lineRule="auto"/>
        <w:rPr>
          <w:sz w:val="20"/>
          <w:szCs w:val="20"/>
          <w:color w:val="auto"/>
        </w:rPr>
      </w:pPr>
      <w:r>
        <w:rPr>
          <w:rFonts w:ascii="Arial" w:cs="Arial" w:eastAsia="Arial" w:hAnsi="Arial"/>
          <w:sz w:val="16"/>
          <w:szCs w:val="16"/>
          <w:color w:val="auto"/>
        </w:rPr>
        <w:t>In the six months ended June 30, 2021, the Company incurred $1.2 million of debt issuance costs related to the Convertible Notes (see Note 7), which were not yet paid as of June 30, 2021 and were recorded on the Condensed Consolidated Balance Sheets within Accrued and Other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Income Tax Expense</w:t>
      </w:r>
    </w:p>
    <w:p>
      <w:pPr>
        <w:spacing w:after="0" w:line="18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three months ended June 30, 2022, the Company recorded income tax expense of $3.1 million (2021 — $1.9 million). For the three months ended June 30, 2022, the Company’s effective tax rate differs from the combined Canadian federal and provincial statutory income tax rate due to the following factors: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2"/>
              </w:rPr>
              <w:t>June 30, 2022</w:t>
            </w: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June 30, 2021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rates)</w:t>
            </w:r>
          </w:p>
        </w:tc>
        <w:tc>
          <w:tcPr>
            <w:tcW w:w="180" w:type="dxa"/>
            <w:vAlign w:val="bottom"/>
          </w:tcPr>
          <w:p>
            <w:pPr>
              <w:spacing w:after="0"/>
              <w:rPr>
                <w:sz w:val="14"/>
                <w:szCs w:val="14"/>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3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92"/>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6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benefit at combined statutory rates</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w:t>
            </w: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w:t>
            </w:r>
          </w:p>
        </w:tc>
        <w:tc>
          <w:tcPr>
            <w:tcW w:w="3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Adjustments resulting from:</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of valuation allowance</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(5,426 )</w:t>
            </w: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(485.3%)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(3,007 )</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2" w:lineRule="exact"/>
              <w:rPr>
                <w:sz w:val="20"/>
                <w:szCs w:val="20"/>
                <w:color w:val="auto"/>
              </w:rPr>
            </w:pPr>
            <w:r>
              <w:rPr>
                <w:rFonts w:ascii="Arial" w:cs="Arial" w:eastAsia="Arial" w:hAnsi="Arial"/>
                <w:sz w:val="18"/>
                <w:szCs w:val="18"/>
                <w:color w:val="auto"/>
              </w:rPr>
              <w:t>Shortfall tax benefits related to share-based compensation</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(23 )</w:t>
            </w: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(28 )</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to tax reserves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(251 )</w:t>
            </w: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62"/>
        </w:trPr>
        <w:tc>
          <w:tcPr>
            <w:tcW w:w="6280" w:type="dxa"/>
            <w:vAlign w:val="bottom"/>
          </w:tcPr>
          <w:p>
            <w:pPr>
              <w:ind w:left="200"/>
              <w:spacing w:after="0" w:line="162" w:lineRule="exact"/>
              <w:rPr>
                <w:sz w:val="20"/>
                <w:szCs w:val="20"/>
                <w:color w:val="auto"/>
              </w:rPr>
            </w:pPr>
            <w:r>
              <w:rPr>
                <w:rFonts w:ascii="Arial" w:cs="Arial" w:eastAsia="Arial" w:hAnsi="Arial"/>
                <w:sz w:val="18"/>
                <w:szCs w:val="18"/>
                <w:color w:val="auto"/>
                <w:w w:val="96"/>
              </w:rPr>
              <w:t>Changes to deferred tax assets and liabilities resulting from audit and other tax</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2,497</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(700 )</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280" w:type="dxa"/>
            <w:vAlign w:val="bottom"/>
          </w:tcPr>
          <w:p>
            <w:pPr>
              <w:ind w:left="200"/>
              <w:spacing w:after="0"/>
              <w:rPr>
                <w:sz w:val="20"/>
                <w:szCs w:val="20"/>
                <w:color w:val="auto"/>
              </w:rPr>
            </w:pPr>
            <w:r>
              <w:rPr>
                <w:rFonts w:ascii="Arial" w:cs="Arial" w:eastAsia="Arial" w:hAnsi="Arial"/>
                <w:sz w:val="18"/>
                <w:szCs w:val="18"/>
                <w:color w:val="auto"/>
              </w:rPr>
              <w:t>return adjustments</w:t>
            </w: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non-deductible/non-taxable items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(226 )</w:t>
            </w: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(208 )</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Pr>
          <w:p>
            <w:pPr>
              <w:ind w:left="20"/>
              <w:spacing w:after="0" w:line="182" w:lineRule="exact"/>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(3,133 )</w:t>
            </w:r>
          </w:p>
        </w:tc>
        <w:tc>
          <w:tcPr>
            <w:tcW w:w="360" w:type="dxa"/>
            <w:vAlign w:val="bottom"/>
          </w:tcPr>
          <w:p>
            <w:pPr>
              <w:spacing w:after="0"/>
              <w:rPr>
                <w:sz w:val="17"/>
                <w:szCs w:val="17"/>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w w:val="98"/>
              </w:rPr>
              <w:t>(280.2%)</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(1,946 )</w:t>
            </w:r>
          </w:p>
        </w:tc>
        <w:tc>
          <w:tcPr>
            <w:tcW w:w="340" w:type="dxa"/>
            <w:vAlign w:val="bottom"/>
          </w:tcPr>
          <w:p>
            <w:pPr>
              <w:spacing w:after="0"/>
              <w:rPr>
                <w:sz w:val="17"/>
                <w:szCs w:val="17"/>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-159385</wp:posOffset>
            </wp:positionV>
            <wp:extent cx="7683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-159385</wp:posOffset>
            </wp:positionV>
            <wp:extent cx="11112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6858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For the three months ended June 30, 2022, the Company recorded an additional $5.4 million (2021 — $3.0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47"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six months ended June 30, 2022, the Company recorded income tax expense of $5.7 million (2021 — $5.0 million). For the six months ended June 30, 2022, the Company’s effective tax rate differs from the combined Canadian federal and provincial statutory income tax rate due to the following factors: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2"/>
              </w:rPr>
              <w:t>June 30, 2022</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0"/>
              </w:rPr>
              <w:t>June 30, 2021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rates)</w:t>
            </w:r>
          </w:p>
        </w:tc>
        <w:tc>
          <w:tcPr>
            <w:tcW w:w="180" w:type="dxa"/>
            <w:vAlign w:val="bottom"/>
          </w:tcPr>
          <w:p>
            <w:pPr>
              <w:spacing w:after="0"/>
              <w:rPr>
                <w:sz w:val="14"/>
                <w:szCs w:val="14"/>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92"/>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benefit at combined statutory rates</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2,772</w:t>
            </w: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3,074</w:t>
            </w:r>
          </w:p>
        </w:tc>
        <w:tc>
          <w:tcPr>
            <w:tcW w:w="3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Adjustments resulting from:</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of valuation allowance</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(10,435 )</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(9,978 )</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03"/>
        </w:trPr>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(Shortfall) excess tax benefits related to share-based compensation</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(152 )</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to tax reserves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(411 )</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1,449</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Maoyan investment not taxable</w:t>
            </w:r>
          </w:p>
        </w:tc>
        <w:tc>
          <w:tcPr>
            <w:tcW w:w="180" w:type="dxa"/>
            <w:vAlign w:val="bottom"/>
          </w:tcPr>
          <w:p>
            <w:pPr>
              <w:spacing w:after="0"/>
              <w:rPr>
                <w:sz w:val="17"/>
                <w:szCs w:val="17"/>
                <w:color w:val="auto"/>
              </w:rPr>
            </w:pPr>
          </w:p>
        </w:tc>
        <w:tc>
          <w:tcPr>
            <w:tcW w:w="150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1,367</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2"/>
        </w:trPr>
        <w:tc>
          <w:tcPr>
            <w:tcW w:w="62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3"/>
              </w:rPr>
              <w:t>Withholding taxes resulting from management's decision to no longer indefinitely</w:t>
            </w:r>
          </w:p>
        </w:tc>
        <w:tc>
          <w:tcPr>
            <w:tcW w:w="180" w:type="dxa"/>
            <w:vAlign w:val="bottom"/>
            <w:shd w:val="clear" w:color="auto" w:fill="CFF0FC"/>
          </w:tcPr>
          <w:p>
            <w:pPr>
              <w:spacing w:after="0"/>
              <w:rPr>
                <w:sz w:val="14"/>
                <w:szCs w:val="14"/>
                <w:color w:val="auto"/>
              </w:rPr>
            </w:pPr>
          </w:p>
        </w:tc>
        <w:tc>
          <w:tcPr>
            <w:tcW w:w="1500" w:type="dxa"/>
            <w:vAlign w:val="bottom"/>
            <w:gridSpan w:val="3"/>
            <w:vMerge w:val="restart"/>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(547 )</w:t>
            </w:r>
          </w:p>
        </w:tc>
        <w:tc>
          <w:tcPr>
            <w:tcW w:w="34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reinvest the historical earnings of certain foreign subsidiaries</w:t>
            </w:r>
          </w:p>
        </w:tc>
        <w:tc>
          <w:tcPr>
            <w:tcW w:w="180" w:type="dxa"/>
            <w:vAlign w:val="bottom"/>
            <w:shd w:val="clear" w:color="auto" w:fill="CFF0FC"/>
          </w:tcPr>
          <w:p>
            <w:pPr>
              <w:spacing w:after="0"/>
              <w:rPr>
                <w:sz w:val="18"/>
                <w:szCs w:val="18"/>
                <w:color w:val="auto"/>
              </w:rPr>
            </w:pPr>
          </w:p>
        </w:tc>
        <w:tc>
          <w:tcPr>
            <w:tcW w:w="1500" w:type="dxa"/>
            <w:vAlign w:val="bottom"/>
            <w:gridSpan w:val="3"/>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00" w:type="dxa"/>
            <w:vAlign w:val="bottom"/>
          </w:tcPr>
          <w:p>
            <w:pPr>
              <w:ind w:left="200"/>
              <w:spacing w:after="0" w:line="162" w:lineRule="exact"/>
              <w:rPr>
                <w:sz w:val="20"/>
                <w:szCs w:val="20"/>
                <w:color w:val="auto"/>
              </w:rPr>
            </w:pPr>
            <w:r>
              <w:rPr>
                <w:rFonts w:ascii="Arial" w:cs="Arial" w:eastAsia="Arial" w:hAnsi="Arial"/>
                <w:sz w:val="18"/>
                <w:szCs w:val="18"/>
                <w:color w:val="auto"/>
                <w:w w:val="95"/>
              </w:rPr>
              <w:t>Changes to deferred tax assets and liabilities resulting from audit and other tax</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2,497</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(700 )</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return adjustments</w:t>
            </w: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non-deductible/non-taxable items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(14 )</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(392 )</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Pr>
          <w:p>
            <w:pPr>
              <w:ind w:left="20"/>
              <w:spacing w:after="0" w:line="182" w:lineRule="exact"/>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(5,743 )</w:t>
            </w:r>
          </w:p>
        </w:tc>
        <w:tc>
          <w:tcPr>
            <w:tcW w:w="360" w:type="dxa"/>
            <w:vAlign w:val="bottom"/>
          </w:tcPr>
          <w:p>
            <w:pPr>
              <w:spacing w:after="0"/>
              <w:rPr>
                <w:sz w:val="17"/>
                <w:szCs w:val="17"/>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(54.9%)</w:t>
            </w:r>
          </w:p>
        </w:tc>
        <w:tc>
          <w:tcPr>
            <w:tcW w:w="4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(5,014 )</w:t>
            </w:r>
          </w:p>
        </w:tc>
        <w:tc>
          <w:tcPr>
            <w:tcW w:w="340" w:type="dxa"/>
            <w:vAlign w:val="bottom"/>
          </w:tcPr>
          <w:p>
            <w:pPr>
              <w:spacing w:after="0"/>
              <w:rPr>
                <w:sz w:val="17"/>
                <w:szCs w:val="17"/>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-159385</wp:posOffset>
            </wp:positionV>
            <wp:extent cx="7747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-159385</wp:posOffset>
            </wp:positionV>
            <wp:extent cx="685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6858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44"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7"/>
          <w:szCs w:val="17"/>
          <w:color w:val="auto"/>
        </w:rPr>
        <w:t>As of June 30, 2022, the Company’s Condensed Consolidated Balance Sheets include net deferred income tax assets of $14.0 million, net of a valuation allowance of $56.4 million (December 31, 2021 — $13.9 million, net of a valuation allowance of $46.0 million). The valuation allowance will be reversed when and if management determines it is more likely than not that the Company will incur sufficient tax liabilities to allow it to utilize the deferred tax assets against which the valuation allowance is recorded. Despite the valuation allowance recorded against its deferred tax assets, the Company remains entitled to benefit from tax attributes which currently have a valuation allowance applied to them.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1" w:name="page32"/>
    <w:bookmarkEnd w:id="31"/>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Income Tax Effect on Other Comprehensive (Loss) Income</w:t>
      </w:r>
    </w:p>
    <w:p>
      <w:pPr>
        <w:spacing w:after="0" w:line="198" w:lineRule="exact"/>
        <w:rPr>
          <w:sz w:val="20"/>
          <w:szCs w:val="20"/>
          <w:color w:val="auto"/>
        </w:rPr>
      </w:pPr>
    </w:p>
    <w:p>
      <w:pPr>
        <w:ind w:right="20" w:firstLine="224"/>
        <w:spacing w:after="0" w:line="261" w:lineRule="auto"/>
        <w:rPr>
          <w:sz w:val="20"/>
          <w:szCs w:val="20"/>
          <w:color w:val="auto"/>
        </w:rPr>
      </w:pPr>
      <w:r>
        <w:rPr>
          <w:rFonts w:ascii="Arial" w:cs="Arial" w:eastAsia="Arial" w:hAnsi="Arial"/>
          <w:sz w:val="18"/>
          <w:szCs w:val="18"/>
          <w:color w:val="auto"/>
        </w:rPr>
        <w:t>For the three and six months ended June 30, 2022 and 2021, the Income Tax Benefit (Expense) related to the components of Other Comprehensive (Loss) Income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Unrealized change in cash flow hedging instruments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159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(80 )</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(157 )</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Realized change in cash flow hedging instruments</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276</w:t>
            </w: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4"/>
              </w:rPr>
              <w:t>Reclassification of unrealized change in ineffective cash flow hedging instruments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76</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Defined benefit and postretirement benefit plans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(12 )</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130</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194</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857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857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857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Reserves</w:t>
      </w:r>
    </w:p>
    <w:p>
      <w:pPr>
        <w:spacing w:after="0" w:line="188" w:lineRule="exact"/>
        <w:rPr>
          <w:rFonts w:ascii="Arial" w:cs="Arial" w:eastAsia="Arial" w:hAnsi="Arial"/>
          <w:sz w:val="18"/>
          <w:szCs w:val="18"/>
          <w:b w:val="1"/>
          <w:bCs w:val="1"/>
          <w:color w:val="auto"/>
        </w:rPr>
      </w:pPr>
    </w:p>
    <w:p>
      <w:pPr>
        <w:ind w:left="600" w:hanging="377"/>
        <w:spacing w:after="0"/>
        <w:tabs>
          <w:tab w:leader="none" w:pos="600" w:val="left"/>
        </w:tabs>
        <w:numPr>
          <w:ilvl w:val="1"/>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firstLine="224"/>
        <w:spacing w:after="0" w:line="291" w:lineRule="auto"/>
        <w:rPr>
          <w:sz w:val="20"/>
          <w:szCs w:val="20"/>
          <w:color w:val="auto"/>
        </w:rPr>
      </w:pPr>
      <w:r>
        <w:rPr>
          <w:rFonts w:ascii="Arial" w:cs="Arial" w:eastAsia="Arial" w:hAnsi="Arial"/>
          <w:sz w:val="17"/>
          <w:szCs w:val="17"/>
          <w:color w:val="auto"/>
        </w:rPr>
        <w:t>For the three and six months ended June 30, 2022, share-based compensation expense totaled $7.6 million and $13.7 million, respectively (2021 — $6.8 million and $12.1 million, respectively) and is reflected in the following accounts in the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Pr>
          <w:p>
            <w:pPr>
              <w:spacing w:after="0"/>
              <w:rPr>
                <w:sz w:val="17"/>
                <w:szCs w:val="17"/>
                <w:color w:val="auto"/>
              </w:rPr>
            </w:pPr>
          </w:p>
        </w:tc>
        <w:tc>
          <w:tcPr>
            <w:tcW w:w="1120" w:type="dxa"/>
            <w:vAlign w:val="bottom"/>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and expenses applicable to revenues</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58"/>
              <w:spacing w:after="0" w:line="196" w:lineRule="exact"/>
              <w:rPr>
                <w:sz w:val="20"/>
                <w:szCs w:val="20"/>
                <w:color w:val="auto"/>
              </w:rPr>
            </w:pPr>
            <w:r>
              <w:rPr>
                <w:rFonts w:ascii="Arial" w:cs="Arial" w:eastAsia="Arial" w:hAnsi="Arial"/>
                <w:sz w:val="18"/>
                <w:szCs w:val="18"/>
                <w:color w:val="auto"/>
              </w:rPr>
              <w:t>269</w:t>
            </w:r>
          </w:p>
        </w:tc>
        <w:tc>
          <w:tcPr>
            <w:tcW w:w="1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312</w:t>
            </w: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508</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606</w:t>
            </w: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7"/>
                <w:szCs w:val="17"/>
                <w:color w:val="auto"/>
              </w:rPr>
            </w:pPr>
          </w:p>
        </w:tc>
        <w:tc>
          <w:tcPr>
            <w:tcW w:w="1120" w:type="dxa"/>
            <w:vAlign w:val="bottom"/>
          </w:tcPr>
          <w:p>
            <w:pPr>
              <w:jc w:val="right"/>
              <w:ind w:right="58"/>
              <w:spacing w:after="0" w:line="202" w:lineRule="exact"/>
              <w:rPr>
                <w:sz w:val="20"/>
                <w:szCs w:val="20"/>
                <w:color w:val="auto"/>
              </w:rPr>
            </w:pPr>
            <w:r>
              <w:rPr>
                <w:rFonts w:ascii="Arial" w:cs="Arial" w:eastAsia="Arial" w:hAnsi="Arial"/>
                <w:sz w:val="18"/>
                <w:szCs w:val="18"/>
                <w:color w:val="auto"/>
              </w:rPr>
              <w:t>7,263</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3"/>
              </w:rPr>
              <w:t>6,396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12,989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11,340</w:t>
            </w:r>
          </w:p>
        </w:tc>
      </w:tr>
      <w:tr>
        <w:trPr>
          <w:trHeight w:val="203"/>
        </w:trPr>
        <w:tc>
          <w:tcPr>
            <w:tcW w:w="5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192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156</w:t>
            </w:r>
          </w:p>
        </w:tc>
      </w:tr>
      <w:tr>
        <w:trPr>
          <w:trHeight w:val="196"/>
        </w:trPr>
        <w:tc>
          <w:tcPr>
            <w:tcW w:w="56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8"/>
              <w:spacing w:after="0" w:line="196" w:lineRule="exact"/>
              <w:rPr>
                <w:sz w:val="20"/>
                <w:szCs w:val="20"/>
                <w:color w:val="auto"/>
              </w:rPr>
            </w:pPr>
            <w:r>
              <w:rPr>
                <w:rFonts w:ascii="Arial" w:cs="Arial" w:eastAsia="Arial" w:hAnsi="Arial"/>
                <w:sz w:val="18"/>
                <w:szCs w:val="18"/>
                <w:color w:val="auto"/>
              </w:rPr>
              <w:t>7,637</w:t>
            </w:r>
          </w:p>
        </w:tc>
        <w:tc>
          <w:tcPr>
            <w:tcW w:w="980" w:type="dxa"/>
            <w:vAlign w:val="bottom"/>
            <w:gridSpan w:val="2"/>
          </w:tcPr>
          <w:p>
            <w:pPr>
              <w:jc w:val="right"/>
              <w:ind w:right="65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3"/>
              </w:rPr>
              <w:t>6,795</w:t>
            </w:r>
          </w:p>
        </w:tc>
        <w:tc>
          <w:tcPr>
            <w:tcW w:w="3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line="196" w:lineRule="exact"/>
              <w:rPr>
                <w:sz w:val="20"/>
                <w:szCs w:val="20"/>
                <w:color w:val="auto"/>
              </w:rPr>
            </w:pPr>
            <w:r>
              <w:rPr>
                <w:rFonts w:ascii="Arial" w:cs="Arial" w:eastAsia="Arial" w:hAnsi="Arial"/>
                <w:sz w:val="18"/>
                <w:szCs w:val="18"/>
                <w:color w:val="auto"/>
              </w:rPr>
              <w:t>13,689</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12,102</w:t>
            </w:r>
          </w:p>
        </w:tc>
      </w:tr>
      <w:tr>
        <w:trPr>
          <w:trHeight w:val="20"/>
        </w:trPr>
        <w:tc>
          <w:tcPr>
            <w:tcW w:w="5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-159385</wp:posOffset>
            </wp:positionV>
            <wp:extent cx="8572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wp:posOffset>
            </wp:positionV>
            <wp:extent cx="8572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wp:posOffset>
            </wp:positionV>
            <wp:extent cx="8572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share-based compensation expense by each award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5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6"/>
        </w:trPr>
        <w:tc>
          <w:tcPr>
            <w:tcW w:w="55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Pr>
          <w:p>
            <w:pPr>
              <w:spacing w:after="0"/>
              <w:rPr>
                <w:sz w:val="17"/>
                <w:szCs w:val="17"/>
                <w:color w:val="auto"/>
              </w:rPr>
            </w:pPr>
          </w:p>
        </w:tc>
        <w:tc>
          <w:tcPr>
            <w:tcW w:w="11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204</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555</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Restricted Share Units</w:t>
            </w:r>
          </w:p>
        </w:tc>
        <w:tc>
          <w:tcPr>
            <w:tcW w:w="300" w:type="dxa"/>
            <w:vAlign w:val="bottom"/>
          </w:tcPr>
          <w:p>
            <w:pPr>
              <w:spacing w:after="0"/>
              <w:rPr>
                <w:sz w:val="17"/>
                <w:szCs w:val="17"/>
                <w:color w:val="auto"/>
              </w:rPr>
            </w:pPr>
          </w:p>
        </w:tc>
        <w:tc>
          <w:tcPr>
            <w:tcW w:w="11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4,478</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3"/>
              </w:rPr>
              <w:t>4,473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7,889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7,624</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Performance Stock Units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1,724</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972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3,453</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1,986</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IMAX China Stock Options</w:t>
            </w:r>
          </w:p>
        </w:tc>
        <w:tc>
          <w:tcPr>
            <w:tcW w:w="300" w:type="dxa"/>
            <w:vAlign w:val="bottom"/>
          </w:tcPr>
          <w:p>
            <w:pPr>
              <w:spacing w:after="0"/>
              <w:rPr>
                <w:sz w:val="17"/>
                <w:szCs w:val="17"/>
                <w:color w:val="auto"/>
              </w:rPr>
            </w:pPr>
          </w:p>
        </w:tc>
        <w:tc>
          <w:tcPr>
            <w:tcW w:w="11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102</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IMAX China Long Term Incentive Plan Restricted Share Units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1,093</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985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1,590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1,617</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IMAX China Long Term Incentive Plan Performance Stock Units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196</w:t>
            </w:r>
          </w:p>
        </w:tc>
        <w:tc>
          <w:tcPr>
            <w:tcW w:w="1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370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218</w:t>
            </w:r>
          </w:p>
        </w:tc>
      </w:tr>
      <w:tr>
        <w:trPr>
          <w:trHeight w:val="236"/>
        </w:trPr>
        <w:tc>
          <w:tcPr>
            <w:tcW w:w="55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7,637</w:t>
            </w:r>
          </w:p>
        </w:tc>
        <w:tc>
          <w:tcPr>
            <w:tcW w:w="1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3"/>
              </w:rPr>
              <w:t>6,795</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13,689</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12,102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857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857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For the three and six months ended June 30, 2022 and 2021, share-based compensation expense includes $1.3 million related to restricted share units granted to non-employee directors of IMAX Corporation and IMAX China (2021 — $1.3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ind w:left="240"/>
        <w:spacing w:after="0"/>
        <w:rPr>
          <w:sz w:val="20"/>
          <w:szCs w:val="20"/>
          <w:color w:val="auto"/>
        </w:rPr>
      </w:pPr>
      <w:r>
        <w:rPr>
          <w:rFonts w:ascii="Arial" w:cs="Arial" w:eastAsia="Arial" w:hAnsi="Arial"/>
          <w:sz w:val="18"/>
          <w:szCs w:val="18"/>
          <w:i w:val="1"/>
          <w:iCs w:val="1"/>
          <w:color w:val="auto"/>
        </w:rPr>
        <w:t>Stock Option Summary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under the Company’s Stock Option Plan (“SOP”) and the IMAX Corporation Second Amended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Restated Long-Term Incentive Plan (as may be amended, “IMAX LTIP”) for the six months ended June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91"/>
              </w:rPr>
              <w:t>Number of Shares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1"/>
              </w:rPr>
              <w:t>Weighted Average Exercise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755"/>
              <w:spacing w:after="0"/>
              <w:rPr>
                <w:sz w:val="20"/>
                <w:szCs w:val="20"/>
                <w:color w:val="auto"/>
              </w:rPr>
            </w:pPr>
            <w:r>
              <w:rPr>
                <w:rFonts w:ascii="Arial" w:cs="Arial" w:eastAsia="Arial" w:hAnsi="Arial"/>
                <w:sz w:val="14"/>
                <w:szCs w:val="14"/>
                <w:b w:val="1"/>
                <w:bCs w:val="1"/>
                <w:color w:val="auto"/>
                <w:w w:val="92"/>
              </w:rPr>
              <w:t>Price Per Share</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3"/>
              </w:rPr>
              <w:t>2021</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outstanding, beginning of period</w:t>
            </w:r>
          </w:p>
        </w:tc>
        <w:tc>
          <w:tcPr>
            <w:tcW w:w="128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3,736,157</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w w:val="87"/>
              </w:rPr>
              <w:t>4,892,962</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26.61</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86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860" w:type="dxa"/>
            <w:vAlign w:val="bottom"/>
            <w:gridSpan w:val="3"/>
            <w:shd w:val="clear" w:color="auto" w:fill="CFF0FC"/>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(41,613 )</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86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(86,587 )</w:t>
            </w:r>
          </w:p>
        </w:tc>
        <w:tc>
          <w:tcPr>
            <w:tcW w:w="220" w:type="dxa"/>
            <w:vAlign w:val="bottom"/>
          </w:tcPr>
          <w:p>
            <w:pPr>
              <w:spacing w:after="0"/>
              <w:rPr>
                <w:sz w:val="17"/>
                <w:szCs w:val="17"/>
                <w:color w:val="auto"/>
              </w:rPr>
            </w:pP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Expired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(126,569 )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(903,038 )</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33.61</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Cancelled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(2,197 )</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(10,917 )</w:t>
            </w:r>
          </w:p>
        </w:tc>
        <w:tc>
          <w:tcPr>
            <w:tcW w:w="220" w:type="dxa"/>
            <w:vAlign w:val="bottom"/>
          </w:tcPr>
          <w:p>
            <w:pPr>
              <w:spacing w:after="0"/>
              <w:rPr>
                <w:sz w:val="17"/>
                <w:szCs w:val="17"/>
                <w:color w:val="auto"/>
              </w:rPr>
            </w:pP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32.50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Stock options outstanding, end of period</w:t>
            </w:r>
          </w:p>
        </w:tc>
        <w:tc>
          <w:tcPr>
            <w:tcW w:w="1280" w:type="dxa"/>
            <w:vAlign w:val="bottom"/>
            <w:tcBorders>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3,607,391</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w w:val="87"/>
              </w:rPr>
              <w:t>3,850,807</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26.36</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183"/>
        </w:trPr>
        <w:tc>
          <w:tcPr>
            <w:tcW w:w="5440" w:type="dxa"/>
            <w:vAlign w:val="bottom"/>
          </w:tcPr>
          <w:p>
            <w:pPr>
              <w:ind w:left="20"/>
              <w:spacing w:after="0" w:line="182" w:lineRule="exact"/>
              <w:rPr>
                <w:sz w:val="20"/>
                <w:szCs w:val="20"/>
                <w:color w:val="auto"/>
              </w:rPr>
            </w:pPr>
            <w:r>
              <w:rPr>
                <w:rFonts w:ascii="Arial" w:cs="Arial" w:eastAsia="Arial" w:hAnsi="Arial"/>
                <w:sz w:val="18"/>
                <w:szCs w:val="18"/>
                <w:color w:val="auto"/>
              </w:rPr>
              <w:t>Stock options exercisable, end of period</w:t>
            </w:r>
          </w:p>
        </w:tc>
        <w:tc>
          <w:tcPr>
            <w:tcW w:w="128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3,524,888</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w w:val="87"/>
              </w:rPr>
              <w:t>3,600,160</w:t>
            </w:r>
          </w:p>
        </w:tc>
        <w:tc>
          <w:tcPr>
            <w:tcW w:w="220" w:type="dxa"/>
            <w:vAlign w:val="bottom"/>
          </w:tcPr>
          <w:p>
            <w:pPr>
              <w:spacing w:after="0"/>
              <w:rPr>
                <w:sz w:val="15"/>
                <w:szCs w:val="15"/>
                <w:color w:val="auto"/>
              </w:rPr>
            </w:pPr>
          </w:p>
        </w:tc>
        <w:tc>
          <w:tcPr>
            <w:tcW w:w="1360" w:type="dxa"/>
            <w:vAlign w:val="bottom"/>
          </w:tcPr>
          <w:p>
            <w:pPr>
              <w:jc w:val="right"/>
              <w:ind w:right="35"/>
              <w:spacing w:after="0" w:line="182" w:lineRule="exact"/>
              <w:rPr>
                <w:sz w:val="20"/>
                <w:szCs w:val="20"/>
                <w:color w:val="auto"/>
              </w:rPr>
            </w:pPr>
            <w:r>
              <w:rPr>
                <w:rFonts w:ascii="Arial" w:cs="Arial" w:eastAsia="Arial" w:hAnsi="Arial"/>
                <w:sz w:val="18"/>
                <w:szCs w:val="18"/>
                <w:color w:val="auto"/>
              </w:rPr>
              <w:t>26.45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32"/>
              <w:spacing w:after="0" w:line="182" w:lineRule="exact"/>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-179705</wp:posOffset>
            </wp:positionV>
            <wp:extent cx="857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-162560</wp:posOffset>
            </wp:positionV>
            <wp:extent cx="857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-179705</wp:posOffset>
            </wp:positionV>
            <wp:extent cx="1289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-162560</wp:posOffset>
            </wp:positionV>
            <wp:extent cx="12890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 are no longer granted under the Company’s previously approved SOP.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Units (“RSU”) Summary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in respect of RSUs issued under the IMAX LTIP for the six months ended June 30,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720" w:type="dxa"/>
            <w:vAlign w:val="bottom"/>
            <w:gridSpan w:val="3"/>
            <w:vMerge w:val="restart"/>
          </w:tcPr>
          <w:p>
            <w:pPr>
              <w:jc w:val="right"/>
              <w:ind w:right="750"/>
              <w:spacing w:after="0"/>
              <w:rPr>
                <w:sz w:val="20"/>
                <w:szCs w:val="20"/>
                <w:color w:val="auto"/>
              </w:rPr>
            </w:pPr>
            <w:r>
              <w:rPr>
                <w:rFonts w:ascii="Arial" w:cs="Arial" w:eastAsia="Arial" w:hAnsi="Arial"/>
                <w:sz w:val="14"/>
                <w:szCs w:val="14"/>
                <w:b w:val="1"/>
                <w:bCs w:val="1"/>
                <w:color w:val="auto"/>
              </w:rPr>
              <w:t>Number of Awards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center"/>
              <w:ind w:right="353"/>
              <w:spacing w:after="0"/>
              <w:rPr>
                <w:sz w:val="20"/>
                <w:szCs w:val="20"/>
                <w:color w:val="auto"/>
              </w:rPr>
            </w:pPr>
            <w:r>
              <w:rPr>
                <w:rFonts w:ascii="Arial" w:cs="Arial" w:eastAsia="Arial" w:hAnsi="Arial"/>
                <w:sz w:val="14"/>
                <w:szCs w:val="14"/>
                <w:b w:val="1"/>
                <w:bCs w:val="1"/>
                <w:color w:val="auto"/>
                <w:w w:val="94"/>
              </w:rPr>
              <w:t>Weighted Average Grant Date</w:t>
            </w: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72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5"/>
              </w:rPr>
              <w:t>Fair Value Per Share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48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49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RSUs outstanding, beginning of period</w:t>
            </w:r>
          </w:p>
        </w:tc>
        <w:tc>
          <w:tcPr>
            <w:tcW w:w="1240" w:type="dxa"/>
            <w:vAlign w:val="bottom"/>
            <w:tcBorders>
              <w:top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1,457,883</w:t>
            </w:r>
          </w:p>
        </w:tc>
        <w:tc>
          <w:tcPr>
            <w:tcW w:w="2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1,564,838</w:t>
            </w: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19.16</w:t>
            </w: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2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690,509</w:t>
            </w:r>
          </w:p>
        </w:tc>
        <w:tc>
          <w:tcPr>
            <w:tcW w:w="1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829,057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19.43</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settled</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(711,376 )</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(568,714 )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18.68</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(28,060 )</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(220,195 )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20.16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RSUs outstanding, end of period</w:t>
            </w:r>
          </w:p>
        </w:tc>
        <w:tc>
          <w:tcPr>
            <w:tcW w:w="1240" w:type="dxa"/>
            <w:vAlign w:val="bottom"/>
            <w:tcBorders>
              <w:top w:val="single" w:sz="8" w:color="auto"/>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1,408,956</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1,604,986</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19.51</w:t>
            </w:r>
          </w:p>
        </w:tc>
        <w:tc>
          <w:tcPr>
            <w:tcW w:w="1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-25400</wp:posOffset>
            </wp:positionV>
            <wp:extent cx="1371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774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774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 ("PSU") Summary</w:t>
      </w:r>
    </w:p>
    <w:p>
      <w:pPr>
        <w:spacing w:after="0" w:line="17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The Company grants awards for two types of PSUs,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49"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62"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jc w:val="both"/>
        <w:ind w:firstLine="224"/>
        <w:spacing w:after="0" w:line="276" w:lineRule="auto"/>
        <w:rPr>
          <w:sz w:val="20"/>
          <w:szCs w:val="20"/>
          <w:color w:val="auto"/>
        </w:rPr>
      </w:pPr>
      <w:r>
        <w:rPr>
          <w:rFonts w:ascii="Arial" w:cs="Arial" w:eastAsia="Arial" w:hAnsi="Arial"/>
          <w:sz w:val="16"/>
          <w:szCs w:val="16"/>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six months ended June 30, 2022 and 2021 includes adjustments reflecting management’s estimate of the number of PSUs with EBITDA-based targets expected to vest.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in respect of PSUs issued under the IMAX LTIP for the six months ended June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76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Number of Awards</w:t>
            </w:r>
          </w:p>
        </w:tc>
        <w:tc>
          <w:tcPr>
            <w:tcW w:w="340" w:type="dxa"/>
            <w:vAlign w:val="bottom"/>
          </w:tcPr>
          <w:p>
            <w:pPr>
              <w:spacing w:after="0"/>
              <w:rPr>
                <w:sz w:val="14"/>
                <w:szCs w:val="14"/>
                <w:color w:val="auto"/>
              </w:rPr>
            </w:pPr>
          </w:p>
        </w:tc>
        <w:tc>
          <w:tcPr>
            <w:tcW w:w="262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3"/>
              </w:rPr>
              <w:t>Weighted Average Grant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93"/>
              </w:rPr>
              <w:t>Fair Value Per Share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PSUs outstanding, beginning of period</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613,405</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361,844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18.21</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359,138</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309,574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20.34</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(8,073 )</w:t>
            </w:r>
          </w:p>
        </w:tc>
        <w:tc>
          <w:tcPr>
            <w:tcW w:w="1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(54,634 )</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PSUs outstanding, end of period</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964,470</w:t>
            </w:r>
          </w:p>
        </w:tc>
        <w:tc>
          <w:tcPr>
            <w:tcW w:w="26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616,784</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18.98</w:t>
            </w:r>
          </w:p>
        </w:tc>
        <w:tc>
          <w:tcPr>
            <w:tcW w:w="24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18.20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-159385</wp:posOffset>
            </wp:positionV>
            <wp:extent cx="7683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-159385</wp:posOffset>
            </wp:positionV>
            <wp:extent cx="7683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168"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As of June 30, 2022, the maximum number of shares of common stock that may be issued with respect to PSUs outstanding is 1,687,823, assuming full achievement of the EBITDA and TSR targets.</w:t>
      </w:r>
    </w:p>
    <w:p>
      <w:pPr>
        <w:spacing w:after="0" w:line="130"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18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7"/>
          <w:szCs w:val="17"/>
          <w:color w:val="auto"/>
        </w:rPr>
        <w:t>On April 28, 2022, the Company’s Board of Directors approved a 12-month extension to its share repurchase program through June 30, 2023. The extension authorized the Company to repurchase up to the remaining amount available of the original $200.0 million initially authorized under the share repurchase program when it commenced on July 1, 2017.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35"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During the three and six months ended June 30, 2022, the Company repurchased 2,702,548 and 3,083,200 common shares, respectively, at an average price of $15.92 and $15.99 per share, respectively, for a total of $43.0 million and $49.3 million, respectively, excluding commissions. The Company did not repurchase any common shares during the three and six months ended June 30, 2021. As of June 30, 2022, the Company has $26.2 million available under its approved repurchase program. During the three and six months ended June 30, 2022 and 2021, there were no shares purchases in the administration of employee share based plans.</w:t>
      </w:r>
    </w:p>
    <w:p>
      <w:pPr>
        <w:spacing w:after="0" w:line="149"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As of June 30, 2022 and December 31, 2021, the IMAX LTIP trustee did not hold any shares. Any shares held with the trustee are recorded at cost and are reported as a reduction against Capital Stock on the Company’s Condensed Consolidated Balance Sheets.</w:t>
      </w:r>
    </w:p>
    <w:p>
      <w:pPr>
        <w:spacing w:after="0" w:line="144"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Subsequent to June 30, 2022 and through July 27, 2022, the Company completed repurchases through a 10b5-1 program of 71,467 shares at an average price of $15.93 per share, for a total cost of $1.1 million, excluding commissions.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jc w:val="both"/>
        <w:ind w:firstLine="224"/>
        <w:spacing w:after="0" w:line="269" w:lineRule="auto"/>
        <w:rPr>
          <w:sz w:val="20"/>
          <w:szCs w:val="20"/>
          <w:color w:val="auto"/>
        </w:rPr>
      </w:pPr>
      <w:r>
        <w:rPr>
          <w:rFonts w:ascii="Arial" w:cs="Arial" w:eastAsia="Arial" w:hAnsi="Arial"/>
          <w:sz w:val="16"/>
          <w:szCs w:val="16"/>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expired on the date of the 2022 Annual General Meeting of IMAX China on June 23, 2022. During the 2022 Annual General Meeting, shareholders approved the repurchase of shares of IMAX China not to exceed 10% of the total number of issued shares as of June 23, 2022 (34,063,480 shares). This program will be valid until the 2023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and six months ended June 30, 2022, IMAX China repurchased nil and 1,448,000 common shares, respectively, at an average price of HKD nil and HKD 9.89 per share, respectively (U.S. $nil and $1.26 per share, respectively), for a total of HKD nil and HKD 14.3 million or U.S. $nil and $1.8 million, respectively. IMAX China did not repurchase any common shares during the three and six months ended June 30, 2021.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 (See Note 1.)</w:t>
      </w:r>
    </w:p>
    <w:p>
      <w:pPr>
        <w:spacing w:after="0" w:line="14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Basic and Diluted Weighted Average Shares Outstanding</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5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13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32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Issued and outstanding, beginning of period</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58,751</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59,358</w:t>
            </w:r>
          </w:p>
        </w:tc>
        <w:tc>
          <w:tcPr>
            <w:tcW w:w="24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58,654</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58,921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number of shares (repurchased) issued, net</w:t>
            </w: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(1,430 )</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5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(711 )</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number of shares outstanding — basic</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57,321</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59,367</w:t>
            </w:r>
          </w:p>
        </w:tc>
        <w:tc>
          <w:tcPr>
            <w:tcW w:w="24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57,943</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effect of potential common shares, if dilutive</w:t>
            </w:r>
          </w:p>
        </w:tc>
        <w:tc>
          <w:tcPr>
            <w:tcW w:w="18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number of shares outstanding — diluted</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57,321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59,367</w:t>
            </w: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57,943</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-25400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768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For the three and six months ended June 30, 2022, the calculation of diluted weighted average shares outstanding excludes 6,302,818 shares (2021 — 6,239,713 shares) that are issuable upon the vesting or exercise of share-based compensation including: (i) 1,408,956 RSUs (2021 — 1,604,986 RSUs), (ii) 1,286,471 PSUs (2021 — 783,920 PSUs) and (iii) 3,607,391 stock options (2021 — 3,850,807 stock options), as the effect would be anti-dilutive.</w:t>
      </w:r>
    </w:p>
    <w:p>
      <w:pPr>
        <w:spacing w:after="0" w:line="107"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calculation of diluted weighted average shares outstanding for the three and six months ended June 30, 2022 and 2021 also excludes any shares potentially issuable upon the conversion of the Convertible Notes as the average market price of the Company’s common shares during the period of time they were outstanding was less than the conversion price of the Convertible Notes. (See Note 7(b).)</w:t>
      </w:r>
    </w:p>
    <w:p>
      <w:pPr>
        <w:spacing w:after="0" w:line="15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Statutory Surplus Reserve</w:t>
      </w:r>
    </w:p>
    <w:p>
      <w:pPr>
        <w:spacing w:after="0" w:line="171"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Pursuant to the corporate law of the People’s Republic of China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10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7"/>
          <w:szCs w:val="17"/>
          <w:color w:val="auto"/>
        </w:rPr>
        <w:t xml:space="preserve">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its registered capital. </w:t>
      </w:r>
      <w:r>
        <w:rPr>
          <w:rFonts w:ascii="Arial" w:cs="Arial" w:eastAsia="Arial" w:hAnsi="Arial"/>
          <w:sz w:val="17"/>
          <w:szCs w:val="17"/>
          <w:color w:val="333333"/>
        </w:rPr>
        <w:t>The statutory surplus reserve is non-distributable other than during liquidation and may</w:t>
      </w:r>
      <w:r>
        <w:rPr>
          <w:rFonts w:ascii="Arial" w:cs="Arial" w:eastAsia="Arial" w:hAnsi="Arial"/>
          <w:sz w:val="17"/>
          <w:szCs w:val="17"/>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jc w:val="both"/>
        <w:ind w:firstLine="274"/>
        <w:spacing w:after="0"/>
        <w:rPr>
          <w:sz w:val="20"/>
          <w:szCs w:val="20"/>
          <w:color w:val="auto"/>
        </w:rPr>
      </w:pPr>
      <w:r>
        <w:rPr>
          <w:rFonts w:ascii="Arial" w:cs="Arial" w:eastAsia="Arial" w:hAnsi="Arial"/>
          <w:sz w:val="18"/>
          <w:szCs w:val="18"/>
          <w:color w:val="auto"/>
        </w:rPr>
        <w:t>In 2021, one of the Company’s PRC subsidiaries declared and paid dividends of RMB 131.6 million ($20.4 million). In the third quarter of 2021, upon passage of the requisite resolution of the Board of Directors, a statutory surplus reserve of RMB 36.4 million ($5.6 million) was recorded within Shareholders’ Equity as an appropriation of the retained earnings of the Company’s PRC subsidiaries, of which $3.9 million is attributable to the Company’s common shareholders and $1.7 million is attributable to non-controlling shareholders. The statutory surplus reserve of RMB 36.4 million ($5.6 million) has reached 50% of its PRC subsidiaries’ registered capital. No additional statutory surplus reserve was recorded by the Company's PRC subsidiaries for the three months ended June 30, 2022.</w:t>
      </w:r>
    </w:p>
    <w:p>
      <w:pPr>
        <w:spacing w:after="0" w:line="158"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75" w:lineRule="exact"/>
        <w:rPr>
          <w:rFonts w:ascii="Arial" w:cs="Arial" w:eastAsia="Arial" w:hAnsi="Arial"/>
          <w:sz w:val="18"/>
          <w:szCs w:val="18"/>
          <w:b w:val="1"/>
          <w:bCs w:val="1"/>
          <w:color w:val="auto"/>
        </w:rPr>
      </w:pPr>
    </w:p>
    <w:p>
      <w:pPr>
        <w:ind w:left="600" w:hanging="368"/>
        <w:spacing w:after="0"/>
        <w:tabs>
          <w:tab w:leader="none" w:pos="6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Disaggregated Information About Revenue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tables summarize the Company’s revenues by type and reportable segment for the three and six months ended June 30,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rPr>
              <w:t>Three Months Ended June 30, 2022</w:t>
            </w: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Revenue from</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Contracts with Customers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Revenue from</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1"/>
                <w:szCs w:val="11"/>
                <w:color w:val="auto"/>
              </w:rPr>
            </w:pPr>
          </w:p>
        </w:tc>
        <w:tc>
          <w:tcPr>
            <w:tcW w:w="102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w w:val="90"/>
              </w:rPr>
              <w:t>Lease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4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Consideration</w:t>
            </w:r>
          </w:p>
        </w:tc>
        <w:tc>
          <w:tcPr>
            <w:tcW w:w="12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Consideration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Arrangements</w:t>
            </w:r>
          </w:p>
        </w:tc>
        <w:tc>
          <w:tcPr>
            <w:tcW w:w="2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Finance Income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Technology sales</w:t>
            </w: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7"/>
                <w:szCs w:val="17"/>
                <w:color w:val="auto"/>
              </w:rPr>
              <w:t>IMAX Systems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4,925</w:t>
            </w:r>
          </w:p>
        </w:tc>
        <w:tc>
          <w:tcPr>
            <w:tcW w:w="3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1,016</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6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5,975</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fixed fees</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Other Theater Business</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836</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6,681</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1,016</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532</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8,229</w:t>
            </w:r>
          </w:p>
        </w:tc>
        <w:tc>
          <w:tcPr>
            <w:tcW w:w="100" w:type="dxa"/>
            <w:vAlign w:val="bottom"/>
          </w:tcPr>
          <w:p>
            <w:pPr>
              <w:spacing w:after="0"/>
              <w:rPr>
                <w:sz w:val="17"/>
                <w:szCs w:val="17"/>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Image enhancement and maintenance services</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IMAX DMR</w:t>
            </w:r>
          </w:p>
        </w:tc>
        <w:tc>
          <w:tcPr>
            <w:tcW w:w="1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27,581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27,581</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IMAX Maintenance</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14,683</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14,683</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Film Distribution</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818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Film Post-Production</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1,122</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15,828</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29,130</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44,958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Technology rentals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contingent rent</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18,525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18,525</w:t>
            </w:r>
          </w:p>
        </w:tc>
        <w:tc>
          <w:tcPr>
            <w:tcW w:w="100" w:type="dxa"/>
            <w:vAlign w:val="bottom"/>
            <w:shd w:val="clear" w:color="auto" w:fill="CFF0FC"/>
          </w:tcPr>
          <w:p>
            <w:pPr>
              <w:spacing w:after="0"/>
              <w:rPr>
                <w:sz w:val="17"/>
                <w:szCs w:val="17"/>
                <w:color w:val="auto"/>
              </w:rPr>
            </w:pPr>
          </w:p>
        </w:tc>
      </w:tr>
      <w:tr>
        <w:trPr>
          <w:trHeight w:val="183"/>
        </w:trPr>
        <w:tc>
          <w:tcPr>
            <w:tcW w:w="4460" w:type="dxa"/>
            <w:vAlign w:val="bottom"/>
          </w:tcPr>
          <w:p>
            <w:pPr>
              <w:ind w:left="200"/>
              <w:spacing w:after="0" w:line="182"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18,525</w:t>
            </w:r>
          </w:p>
        </w:tc>
        <w:tc>
          <w:tcPr>
            <w:tcW w:w="2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18,525</w:t>
            </w:r>
          </w:p>
        </w:tc>
        <w:tc>
          <w:tcPr>
            <w:tcW w:w="100" w:type="dxa"/>
            <w:vAlign w:val="bottom"/>
          </w:tcPr>
          <w:p>
            <w:pPr>
              <w:spacing w:after="0"/>
              <w:rPr>
                <w:sz w:val="15"/>
                <w:szCs w:val="15"/>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Finance income</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IMAX Systems</w:t>
            </w:r>
          </w:p>
        </w:tc>
        <w:tc>
          <w:tcPr>
            <w:tcW w:w="1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c>
          <w:tcPr>
            <w:tcW w:w="100" w:type="dxa"/>
            <w:vAlign w:val="bottom"/>
          </w:tcPr>
          <w:p>
            <w:pPr>
              <w:spacing w:after="0"/>
              <w:rPr>
                <w:sz w:val="17"/>
                <w:szCs w:val="17"/>
                <w:color w:val="auto"/>
              </w:rPr>
            </w:pPr>
          </w:p>
        </w:tc>
      </w:tr>
      <w:tr>
        <w:trPr>
          <w:trHeight w:val="236"/>
        </w:trPr>
        <w:tc>
          <w:tcPr>
            <w:tcW w:w="44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22,509</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30,146</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19,057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73,968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-2345055</wp:posOffset>
            </wp:positionV>
            <wp:extent cx="7747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-2345055</wp:posOffset>
            </wp:positionV>
            <wp:extent cx="7747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-2345055</wp:posOffset>
            </wp:positionV>
            <wp:extent cx="6858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-2345055</wp:posOffset>
            </wp:positionV>
            <wp:extent cx="6858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-2345055</wp:posOffset>
            </wp:positionV>
            <wp:extent cx="6858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-1290955</wp:posOffset>
            </wp:positionV>
            <wp:extent cx="7747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-1290955</wp:posOffset>
            </wp:positionV>
            <wp:extent cx="7747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-1290955</wp:posOffset>
            </wp:positionV>
            <wp:extent cx="685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-1290955</wp:posOffset>
            </wp:positionV>
            <wp:extent cx="6858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-1290955</wp:posOffset>
            </wp:positionV>
            <wp:extent cx="6858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-1040765</wp:posOffset>
            </wp:positionV>
            <wp:extent cx="102870" cy="162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-1040765</wp:posOffset>
            </wp:positionV>
            <wp:extent cx="102870" cy="162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-1040765</wp:posOffset>
            </wp:positionV>
            <wp:extent cx="93980" cy="162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-1040765</wp:posOffset>
            </wp:positionV>
            <wp:extent cx="93980" cy="162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-1040765</wp:posOffset>
            </wp:positionV>
            <wp:extent cx="93980" cy="162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-496570</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-479425</wp:posOffset>
            </wp:positionV>
            <wp:extent cx="774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-496570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-479425</wp:posOffset>
            </wp:positionV>
            <wp:extent cx="774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-496570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-479425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-496570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9"/>
          </w:tcPr>
          <w:p>
            <w:pPr>
              <w:jc w:val="center"/>
              <w:ind w:left="353"/>
              <w:spacing w:after="0"/>
              <w:rPr>
                <w:sz w:val="20"/>
                <w:szCs w:val="20"/>
                <w:color w:val="auto"/>
              </w:rPr>
            </w:pPr>
            <w:r>
              <w:rPr>
                <w:rFonts w:ascii="Arial" w:cs="Arial" w:eastAsia="Arial" w:hAnsi="Arial"/>
                <w:sz w:val="14"/>
                <w:szCs w:val="14"/>
                <w:b w:val="1"/>
                <w:bCs w:val="1"/>
                <w:color w:val="auto"/>
                <w:w w:val="92"/>
              </w:rPr>
              <w:t>Six Months Ended June 30, 2022</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Revenue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Contracts with Customers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Revenue from</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Fixed</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53"/>
              <w:spacing w:after="0" w:line="133" w:lineRule="exact"/>
              <w:rPr>
                <w:sz w:val="20"/>
                <w:szCs w:val="20"/>
                <w:color w:val="auto"/>
              </w:rPr>
            </w:pPr>
            <w:r>
              <w:rPr>
                <w:rFonts w:ascii="Arial" w:cs="Arial" w:eastAsia="Arial" w:hAnsi="Arial"/>
                <w:sz w:val="14"/>
                <w:szCs w:val="14"/>
                <w:b w:val="1"/>
                <w:bCs w:val="1"/>
                <w:color w:val="auto"/>
                <w:w w:val="95"/>
              </w:rPr>
              <w:t>Variable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4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consideration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consideration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Finance Income</w:t>
            </w:r>
          </w:p>
        </w:tc>
        <w:tc>
          <w:tcPr>
            <w:tcW w:w="24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Technology sales</w:t>
            </w: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7"/>
                <w:szCs w:val="17"/>
                <w:color w:val="auto"/>
              </w:rPr>
              <w:t>IMAX Systems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10,870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1,384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12,288</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fixed fees</w:t>
            </w: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1,488</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1,488</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Other Theater Business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1,590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1,758</w:t>
            </w: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14,218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1,465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1,522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17,205</w:t>
            </w:r>
          </w:p>
        </w:tc>
        <w:tc>
          <w:tcPr>
            <w:tcW w:w="100" w:type="dxa"/>
            <w:vAlign w:val="bottom"/>
          </w:tcPr>
          <w:p>
            <w:pPr>
              <w:spacing w:after="0"/>
              <w:rPr>
                <w:sz w:val="17"/>
                <w:szCs w:val="17"/>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Image enhancement and maintenance services</w:t>
            </w: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IMAX DMR</w:t>
            </w:r>
          </w:p>
        </w:tc>
        <w:tc>
          <w:tcPr>
            <w:tcW w:w="120" w:type="dxa"/>
            <w:vAlign w:val="bottom"/>
          </w:tcPr>
          <w:p>
            <w:pPr>
              <w:spacing w:after="0"/>
              <w:rPr>
                <w:sz w:val="17"/>
                <w:szCs w:val="17"/>
                <w:color w:val="auto"/>
              </w:rPr>
            </w:pPr>
          </w:p>
        </w:tc>
        <w:tc>
          <w:tcPr>
            <w:tcW w:w="12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47,145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47,145</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IMAX Maintenance</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29,625</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29,625</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Film Distribution</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1,255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1,422</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Film Post-Production</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1,947</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1,947</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7"/>
                <w:szCs w:val="17"/>
                <w:color w:val="auto"/>
              </w:rPr>
            </w:pPr>
          </w:p>
        </w:tc>
        <w:tc>
          <w:tcPr>
            <w:tcW w:w="12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913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913</w:t>
            </w: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31,739</w:t>
            </w: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49,313</w:t>
            </w: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Technology rentals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contingent rent</w:t>
            </w: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31,168</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31,168</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7"/>
                <w:szCs w:val="17"/>
                <w:color w:val="auto"/>
              </w:rPr>
            </w:pPr>
          </w:p>
        </w:tc>
        <w:tc>
          <w:tcPr>
            <w:tcW w:w="12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31,186</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Finance income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IMAX Systems</w:t>
            </w: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4,561</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4,561</w:t>
            </w:r>
          </w:p>
        </w:tc>
        <w:tc>
          <w:tcPr>
            <w:tcW w:w="100" w:type="dxa"/>
            <w:vAlign w:val="bottom"/>
            <w:shd w:val="clear" w:color="auto" w:fill="CFF0FC"/>
          </w:tcPr>
          <w:p>
            <w:pPr>
              <w:spacing w:after="0"/>
              <w:rPr>
                <w:sz w:val="17"/>
                <w:szCs w:val="17"/>
                <w:color w:val="auto"/>
              </w:rPr>
            </w:pPr>
          </w:p>
        </w:tc>
      </w:tr>
      <w:tr>
        <w:trPr>
          <w:trHeight w:val="196"/>
        </w:trPr>
        <w:tc>
          <w:tcPr>
            <w:tcW w:w="44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45,957</w:t>
            </w:r>
          </w:p>
        </w:tc>
        <w:tc>
          <w:tcPr>
            <w:tcW w:w="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50,778</w:t>
            </w:r>
          </w:p>
        </w:tc>
        <w:tc>
          <w:tcPr>
            <w:tcW w:w="4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32,708</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4,561</w:t>
            </w:r>
          </w:p>
        </w:tc>
        <w:tc>
          <w:tcPr>
            <w:tcW w:w="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134,004</w:t>
            </w:r>
          </w:p>
        </w:tc>
        <w:tc>
          <w:tcPr>
            <w:tcW w:w="100" w:type="dxa"/>
            <w:vAlign w:val="bottom"/>
            <w:tcBorders>
              <w:top w:val="single" w:sz="8" w:color="CFF0FC"/>
            </w:tcBorders>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4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center"/>
              <w:ind w:left="333"/>
              <w:spacing w:after="0"/>
              <w:rPr>
                <w:sz w:val="20"/>
                <w:szCs w:val="20"/>
                <w:color w:val="auto"/>
              </w:rPr>
            </w:pPr>
            <w:r>
              <w:rPr>
                <w:rFonts w:ascii="Arial" w:cs="Arial" w:eastAsia="Arial" w:hAnsi="Arial"/>
                <w:sz w:val="14"/>
                <w:szCs w:val="14"/>
                <w:b w:val="1"/>
                <w:bCs w:val="1"/>
                <w:color w:val="auto"/>
                <w:w w:val="93"/>
              </w:rPr>
              <w:t>Three Months Ended June 30, 2021</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4"/>
              </w:rPr>
              <w:t>Revenue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1"/>
              </w:rPr>
              <w:t>Contracts with Customers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Revenue from</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Fixed</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5"/>
              </w:rPr>
              <w:t>Variable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4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Consideration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Consideration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Finance Income</w:t>
            </w:r>
          </w:p>
        </w:tc>
        <w:tc>
          <w:tcPr>
            <w:tcW w:w="240" w:type="dxa"/>
            <w:vAlign w:val="bottom"/>
          </w:tcPr>
          <w:p>
            <w:pPr>
              <w:spacing w:after="0"/>
              <w:rPr>
                <w:sz w:val="16"/>
                <w:szCs w:val="16"/>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55"/>
        </w:trPr>
        <w:tc>
          <w:tcPr>
            <w:tcW w:w="44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Technology sales</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4460" w:type="dxa"/>
            <w:vAlign w:val="bottom"/>
          </w:tcPr>
          <w:p>
            <w:pPr>
              <w:ind w:left="20"/>
              <w:spacing w:after="0" w:line="243"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9,604</w:t>
            </w:r>
          </w:p>
        </w:tc>
        <w:tc>
          <w:tcPr>
            <w:tcW w:w="2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2,746</w:t>
            </w:r>
          </w:p>
        </w:tc>
        <w:tc>
          <w:tcPr>
            <w:tcW w:w="2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21"/>
                <w:szCs w:val="21"/>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fixed fees</w:t>
            </w: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Other Theater Business</w:t>
            </w:r>
          </w:p>
        </w:tc>
        <w:tc>
          <w:tcPr>
            <w:tcW w:w="1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652</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10,731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3,748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15,173</w:t>
            </w:r>
          </w:p>
        </w:tc>
        <w:tc>
          <w:tcPr>
            <w:tcW w:w="100" w:type="dxa"/>
            <w:vAlign w:val="bottom"/>
          </w:tcPr>
          <w:p>
            <w:pPr>
              <w:spacing w:after="0"/>
              <w:rPr>
                <w:sz w:val="17"/>
                <w:szCs w:val="17"/>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Image enhancement and maintenance services</w:t>
            </w: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IMAX DMR</w:t>
            </w:r>
          </w:p>
        </w:tc>
        <w:tc>
          <w:tcPr>
            <w:tcW w:w="120" w:type="dxa"/>
            <w:vAlign w:val="bottom"/>
          </w:tcPr>
          <w:p>
            <w:pPr>
              <w:spacing w:after="0"/>
              <w:rPr>
                <w:sz w:val="17"/>
                <w:szCs w:val="17"/>
                <w:color w:val="auto"/>
              </w:rPr>
            </w:pP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11,793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11,793</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IMAX Maintenance</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11,235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11,235</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Film Distribution</w:t>
            </w:r>
          </w:p>
        </w:tc>
        <w:tc>
          <w:tcPr>
            <w:tcW w:w="1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Film Post-Production</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7"/>
                <w:szCs w:val="17"/>
                <w:color w:val="auto"/>
              </w:rPr>
            </w:pP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12,632</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12,079</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Technology rentals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contingent rent</w:t>
            </w: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7,862</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7"/>
                <w:szCs w:val="17"/>
                <w:color w:val="auto"/>
              </w:rPr>
            </w:pP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8,130</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Finance income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IMAX Systems</w:t>
            </w: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2,941</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23,363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12,773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11,878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2,941</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50,955</w:t>
            </w:r>
          </w:p>
        </w:tc>
        <w:tc>
          <w:tcPr>
            <w:tcW w:w="10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44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-5979795</wp:posOffset>
            </wp:positionV>
            <wp:extent cx="7747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-5979795</wp:posOffset>
            </wp:positionV>
            <wp:extent cx="7683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-5979795</wp:posOffset>
            </wp:positionV>
            <wp:extent cx="6858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-5979795</wp:posOffset>
            </wp:positionV>
            <wp:extent cx="6858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-5979795</wp:posOffset>
            </wp:positionV>
            <wp:extent cx="6858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-4925695</wp:posOffset>
            </wp:positionV>
            <wp:extent cx="7747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-4925695</wp:posOffset>
            </wp:positionV>
            <wp:extent cx="76835"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-4925695</wp:posOffset>
            </wp:positionV>
            <wp:extent cx="6858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-4925695</wp:posOffset>
            </wp:positionV>
            <wp:extent cx="685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-4925695</wp:posOffset>
            </wp:positionV>
            <wp:extent cx="6858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-4394200</wp:posOffset>
            </wp:positionV>
            <wp:extent cx="7747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-4394200</wp:posOffset>
            </wp:positionV>
            <wp:extent cx="7683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-4394200</wp:posOffset>
            </wp:positionV>
            <wp:extent cx="6858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-4394200</wp:posOffset>
            </wp:positionV>
            <wp:extent cx="6858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-4394200</wp:posOffset>
            </wp:positionV>
            <wp:extent cx="6858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-4128135</wp:posOffset>
            </wp:positionV>
            <wp:extent cx="7747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-4128135</wp:posOffset>
            </wp:positionV>
            <wp:extent cx="7683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-4128135</wp:posOffset>
            </wp:positionV>
            <wp:extent cx="6858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-4128135</wp:posOffset>
            </wp:positionV>
            <wp:extent cx="6858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-4128135</wp:posOffset>
            </wp:positionV>
            <wp:extent cx="6858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1289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-2473960</wp:posOffset>
            </wp:positionV>
            <wp:extent cx="7747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-2473960</wp:posOffset>
            </wp:positionV>
            <wp:extent cx="7747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-2473960</wp:posOffset>
            </wp:positionV>
            <wp:extent cx="6858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-2473960</wp:posOffset>
            </wp:positionV>
            <wp:extent cx="6858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-1419225</wp:posOffset>
            </wp:positionV>
            <wp:extent cx="7747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-1419225</wp:posOffset>
            </wp:positionV>
            <wp:extent cx="7747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-1419225</wp:posOffset>
            </wp:positionV>
            <wp:extent cx="6858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-1419225</wp:posOffset>
            </wp:positionV>
            <wp:extent cx="6858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-1419225</wp:posOffset>
            </wp:positionV>
            <wp:extent cx="6858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-887730</wp:posOffset>
            </wp:positionV>
            <wp:extent cx="7747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-887730</wp:posOffset>
            </wp:positionV>
            <wp:extent cx="7747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-887730</wp:posOffset>
            </wp:positionV>
            <wp:extent cx="6858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-887730</wp:posOffset>
            </wp:positionV>
            <wp:extent cx="6858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-887730</wp:posOffset>
            </wp:positionV>
            <wp:extent cx="6858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-622300</wp:posOffset>
            </wp:positionV>
            <wp:extent cx="7747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-622300</wp:posOffset>
            </wp:positionV>
            <wp:extent cx="7747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-622300</wp:posOffset>
            </wp:positionV>
            <wp:extent cx="6858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-622300</wp:posOffset>
            </wp:positionV>
            <wp:extent cx="6858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-622300</wp:posOffset>
            </wp:positionV>
            <wp:extent cx="6858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Six Months Ended June 30, 2021</w:t>
            </w: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Revenue from</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Contracts with 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Revenue from</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rPr>
              <w:t>Fixed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13"/>
              <w:spacing w:after="0" w:line="133" w:lineRule="exact"/>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0"/>
              </w:rPr>
              <w:t>Lease</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4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consideration</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consideration</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Arrangements</w:t>
            </w:r>
          </w:p>
        </w:tc>
        <w:tc>
          <w:tcPr>
            <w:tcW w:w="260" w:type="dxa"/>
            <w:vAlign w:val="bottom"/>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Finance Income</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Technology sales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7"/>
                <w:szCs w:val="17"/>
                <w:color w:val="auto"/>
              </w:rPr>
              <w:t>IMAX Systems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10,442</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1,771</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4,122</w:t>
            </w:r>
          </w:p>
        </w:tc>
        <w:tc>
          <w:tcPr>
            <w:tcW w:w="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16,335</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fixed fees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2,740</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Other Theater Business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912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1,320</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12,674</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1,812</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6,862</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21,348</w:t>
            </w:r>
          </w:p>
        </w:tc>
        <w:tc>
          <w:tcPr>
            <w:tcW w:w="100" w:type="dxa"/>
            <w:vAlign w:val="bottom"/>
          </w:tcPr>
          <w:p>
            <w:pPr>
              <w:spacing w:after="0"/>
              <w:rPr>
                <w:sz w:val="17"/>
                <w:szCs w:val="17"/>
                <w:color w:val="auto"/>
              </w:rPr>
            </w:pPr>
          </w:p>
        </w:tc>
      </w:tr>
      <w:tr>
        <w:trPr>
          <w:trHeight w:val="196"/>
        </w:trPr>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Image enhancement and maintenance services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IMAX DMR</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23,737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23,737</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IMAX Maintenance</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20,141</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20,141</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Film Distribution</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Film Post-Production</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1,987</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1,987</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22,129</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24,197</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Technology rentals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Joint Revenue Sharing Arrangements, contingent rent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16,221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16,221</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w:t>
            </w: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16,489</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Finance income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IMAX Systems</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5,546</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34,803</w:t>
            </w: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26,009</w:t>
            </w:r>
          </w:p>
        </w:tc>
        <w:tc>
          <w:tcPr>
            <w:tcW w:w="4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23,351</w:t>
            </w:r>
          </w:p>
        </w:tc>
        <w:tc>
          <w:tcPr>
            <w:tcW w:w="62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5,546</w:t>
            </w:r>
          </w:p>
        </w:tc>
        <w:tc>
          <w:tcPr>
            <w:tcW w:w="5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89,709</w:t>
            </w:r>
          </w:p>
        </w:tc>
        <w:tc>
          <w:tcPr>
            <w:tcW w:w="10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-2011045</wp:posOffset>
            </wp:positionV>
            <wp:extent cx="7747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-2011045</wp:posOffset>
            </wp:positionV>
            <wp:extent cx="7683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-2011045</wp:posOffset>
            </wp:positionV>
            <wp:extent cx="6858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-2011045</wp:posOffset>
            </wp:positionV>
            <wp:extent cx="6858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-2011045</wp:posOffset>
            </wp:positionV>
            <wp:extent cx="6858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-956310</wp:posOffset>
            </wp:positionV>
            <wp:extent cx="7747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-956310</wp:posOffset>
            </wp:positionV>
            <wp:extent cx="76835"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-956310</wp:posOffset>
            </wp:positionV>
            <wp:extent cx="6858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-956310</wp:posOffset>
            </wp:positionV>
            <wp:extent cx="6858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-956310</wp:posOffset>
            </wp:positionV>
            <wp:extent cx="6858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-424815</wp:posOffset>
            </wp:positionV>
            <wp:extent cx="7747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-424815</wp:posOffset>
            </wp:positionV>
            <wp:extent cx="7683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-424815</wp:posOffset>
            </wp:positionV>
            <wp:extent cx="6858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-424815</wp:posOffset>
            </wp:positionV>
            <wp:extent cx="6858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-159385</wp:posOffset>
            </wp:positionV>
            <wp:extent cx="7747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-159385</wp:posOffset>
            </wp:positionV>
            <wp:extent cx="76835"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wp:posOffset>
            </wp:positionV>
            <wp:extent cx="6858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-159385</wp:posOffset>
            </wp:positionV>
            <wp:extent cx="6858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95123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80" w:right="20" w:hanging="372"/>
        <w:spacing w:after="0" w:line="26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earned from sale and sales-type lease arrangements involving new and upgraded IMAX Theater Systems, as well as the impact of renewals and amendments to existing theater system arrangements.</w:t>
      </w:r>
    </w:p>
    <w:p>
      <w:pPr>
        <w:spacing w:after="0" w:line="144"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Deferred Revenue</w:t>
      </w:r>
    </w:p>
    <w:p>
      <w:pPr>
        <w:spacing w:after="0" w:line="17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As of June 30, 2022, $17.3 million of consideration has been deferred in relation to outstanding maintenance services to be provided on existing maintenance contracts (December 31, 2021 — $20.2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39"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14. Segment Reporting</w:t>
      </w:r>
    </w:p>
    <w:p>
      <w:pPr>
        <w:spacing w:after="0" w:line="189" w:lineRule="exact"/>
        <w:rPr>
          <w:sz w:val="20"/>
          <w:szCs w:val="20"/>
          <w:color w:val="auto"/>
        </w:rPr>
      </w:pPr>
    </w:p>
    <w:p>
      <w:pPr>
        <w:jc w:val="both"/>
        <w:ind w:firstLine="210"/>
        <w:spacing w:after="0" w:line="262" w:lineRule="auto"/>
        <w:rPr>
          <w:sz w:val="20"/>
          <w:szCs w:val="20"/>
          <w:color w:val="auto"/>
        </w:rPr>
      </w:pPr>
      <w:r>
        <w:rPr>
          <w:rFonts w:ascii="Arial" w:cs="Arial" w:eastAsia="Arial" w:hAnsi="Arial"/>
          <w:sz w:val="17"/>
          <w:szCs w:val="17"/>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45"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 The Company organizes its reportable segments into the following three categories, identified by the nature of the product sold or service provided:</w:t>
      </w:r>
    </w:p>
    <w:p>
      <w:pPr>
        <w:spacing w:after="0" w:line="174" w:lineRule="exact"/>
        <w:rPr>
          <w:sz w:val="20"/>
          <w:szCs w:val="20"/>
          <w:color w:val="auto"/>
        </w:rPr>
      </w:pPr>
    </w:p>
    <w:p>
      <w:pPr>
        <w:ind w:left="1140" w:hanging="758"/>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JRSA segment;</w:t>
      </w:r>
    </w:p>
    <w:p>
      <w:pPr>
        <w:spacing w:after="0" w:line="157" w:lineRule="exact"/>
        <w:rPr>
          <w:rFonts w:ascii="Arial" w:cs="Arial" w:eastAsia="Arial" w:hAnsi="Arial"/>
          <w:sz w:val="18"/>
          <w:szCs w:val="18"/>
          <w:color w:val="auto"/>
        </w:rPr>
      </w:pPr>
    </w:p>
    <w:p>
      <w:pPr>
        <w:ind w:left="1140" w:hanging="758"/>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 and</w:t>
      </w:r>
    </w:p>
    <w:p>
      <w:pPr>
        <w:spacing w:after="0" w:line="157" w:lineRule="exact"/>
        <w:rPr>
          <w:rFonts w:ascii="Arial" w:cs="Arial" w:eastAsia="Arial" w:hAnsi="Arial"/>
          <w:sz w:val="18"/>
          <w:szCs w:val="18"/>
          <w:color w:val="auto"/>
        </w:rPr>
      </w:pPr>
    </w:p>
    <w:p>
      <w:pPr>
        <w:jc w:val="both"/>
        <w:ind w:left="1140" w:hanging="758"/>
        <w:spacing w:after="0" w:line="270"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Film Distribution and Post-Production, which includes activities related to the distribution of large-format documentary films, primarily to institutional theaters, and the distribution of exclusive experiences ranging from live performances to interactive events with leading artists and creators (through the Film Distribution segment) and the provision of film post-production and quality control services.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presents its segment information at a disaggregated level to provide more relevant information to the users of its financial statements.</w:t>
      </w:r>
    </w:p>
    <w:p>
      <w:pPr>
        <w:spacing w:after="0" w:line="194"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149" w:lineRule="exact"/>
        <w:rPr>
          <w:sz w:val="20"/>
          <w:szCs w:val="20"/>
          <w:color w:val="auto"/>
        </w:rPr>
      </w:pPr>
    </w:p>
    <w:p>
      <w:pPr>
        <w:jc w:val="both"/>
        <w:ind w:firstLine="224"/>
        <w:spacing w:after="0" w:line="213" w:lineRule="auto"/>
        <w:rPr>
          <w:sz w:val="20"/>
          <w:szCs w:val="20"/>
          <w:color w:val="auto"/>
        </w:rPr>
      </w:pPr>
      <w:r>
        <w:rPr>
          <w:rFonts w:ascii="Arial" w:cs="Arial" w:eastAsia="Arial" w:hAnsi="Arial"/>
          <w:sz w:val="18"/>
          <w:szCs w:val="18"/>
          <w:color w:val="auto"/>
        </w:rPr>
        <w:t>In the first quarter of 2022, the Company’s internal reporting was updated to reclassify the results of IMAX Enhanced</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an initiative to bring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into the home, out of the New Business Initiatives segment and into All Other for segment reporting purposes. IMAX Enhanced was the only component of the New Business Initiatives segment. Prior period comparatives have been reclassified to conform with the current period presentation.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9" w:name="page40"/>
    <w:bookmarkEnd w:id="39"/>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9"/>
                <w:szCs w:val="19"/>
                <w:b w:val="1"/>
                <w:bCs w:val="1"/>
                <w:color w:val="auto"/>
                <w:vertAlign w:val="superscript"/>
              </w:rPr>
              <w:t>(1)</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Gross Margin (Margin Loss)</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3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IMAX Technology Network</w:t>
            </w: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20"/>
              <w:spacing w:after="0" w:line="202" w:lineRule="exact"/>
              <w:rPr>
                <w:sz w:val="20"/>
                <w:szCs w:val="20"/>
                <w:color w:val="auto"/>
              </w:rPr>
            </w:pPr>
            <w:r>
              <w:rPr>
                <w:rFonts w:ascii="Arial" w:cs="Arial" w:eastAsia="Arial" w:hAnsi="Arial"/>
                <w:sz w:val="18"/>
                <w:szCs w:val="18"/>
                <w:color w:val="auto"/>
              </w:rPr>
              <w:t>IMAX DMR</w:t>
            </w:r>
          </w:p>
        </w:tc>
        <w:tc>
          <w:tcPr>
            <w:tcW w:w="16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27,581</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11,793</w:t>
            </w:r>
          </w:p>
        </w:tc>
        <w:tc>
          <w:tcPr>
            <w:tcW w:w="4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18,000</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JRSA, contingent rent</w:t>
            </w:r>
          </w:p>
        </w:tc>
        <w:tc>
          <w:tcPr>
            <w:tcW w:w="13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18,525</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7,862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12,889</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IMAX Technology Sales and Maintenance</w:t>
            </w:r>
          </w:p>
        </w:tc>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46,106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19,655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30,889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20"/>
              <w:spacing w:after="0" w:line="243"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(2)</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15,982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JRSA, fixed fees</w:t>
            </w: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(19 )</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120"/>
              <w:spacing w:after="0" w:line="162" w:lineRule="exact"/>
              <w:rPr>
                <w:sz w:val="20"/>
                <w:szCs w:val="20"/>
                <w:color w:val="auto"/>
              </w:rPr>
            </w:pPr>
            <w:r>
              <w:rPr>
                <w:rFonts w:ascii="Arial" w:cs="Arial" w:eastAsia="Arial" w:hAnsi="Arial"/>
                <w:sz w:val="18"/>
                <w:szCs w:val="18"/>
                <w:color w:val="auto"/>
              </w:rPr>
              <w:t>IMAX Maintenance</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8"/>
                <w:szCs w:val="18"/>
                <w:color w:val="auto"/>
              </w:rPr>
              <w:t>14,683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8"/>
                <w:szCs w:val="18"/>
                <w:color w:val="auto"/>
              </w:rPr>
              <w:t>11,235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8"/>
                <w:szCs w:val="18"/>
                <w:color w:val="auto"/>
              </w:rPr>
              <w:t>7,367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8"/>
                <w:szCs w:val="18"/>
                <w:color w:val="auto"/>
              </w:rPr>
              <w:t>5,075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20"/>
              <w:spacing w:after="0" w:line="243" w:lineRule="exact"/>
              <w:rPr>
                <w:sz w:val="20"/>
                <w:szCs w:val="20"/>
                <w:color w:val="auto"/>
              </w:rPr>
            </w:pPr>
            <w:r>
              <w:rPr>
                <w:rFonts w:ascii="Arial" w:cs="Arial" w:eastAsia="Arial" w:hAnsi="Arial"/>
                <w:sz w:val="18"/>
                <w:szCs w:val="18"/>
                <w:color w:val="auto"/>
              </w:rPr>
              <w:t>Other Theater Business</w:t>
            </w:r>
            <w:r>
              <w:rPr>
                <w:rFonts w:ascii="Arial" w:cs="Arial" w:eastAsia="Arial" w:hAnsi="Arial"/>
                <w:sz w:val="24"/>
                <w:szCs w:val="24"/>
                <w:color w:val="auto"/>
                <w:vertAlign w:val="superscript"/>
              </w:rPr>
              <w:t>(3)</w:t>
            </w:r>
          </w:p>
        </w:tc>
        <w:tc>
          <w:tcPr>
            <w:tcW w:w="1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24,332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28,702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Film Distribution and Post-Production</w:t>
            </w: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20"/>
              <w:spacing w:after="0" w:line="202" w:lineRule="exact"/>
              <w:rPr>
                <w:sz w:val="20"/>
                <w:szCs w:val="20"/>
                <w:color w:val="auto"/>
              </w:rPr>
            </w:pPr>
            <w:r>
              <w:rPr>
                <w:rFonts w:ascii="Arial" w:cs="Arial" w:eastAsia="Arial" w:hAnsi="Arial"/>
                <w:sz w:val="18"/>
                <w:szCs w:val="18"/>
                <w:color w:val="auto"/>
              </w:rPr>
              <w:t>Film Distribution</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(1,015 )</w:t>
            </w:r>
          </w:p>
        </w:tc>
        <w:tc>
          <w:tcPr>
            <w:tcW w:w="28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Post-Production</w:t>
            </w:r>
          </w:p>
        </w:tc>
        <w:tc>
          <w:tcPr>
            <w:tcW w:w="13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1,122</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Sub-total for reportable segments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1,963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1,590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(527 )</w:t>
            </w:r>
          </w:p>
        </w:tc>
        <w:tc>
          <w:tcPr>
            <w:tcW w:w="2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40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72,401</w:t>
            </w: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49,947</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43,183</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25,369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4400" w:type="dxa"/>
            <w:vAlign w:val="bottom"/>
            <w:vMerge w:val="restart"/>
          </w:tcPr>
          <w:p>
            <w:pPr>
              <w:ind w:left="20"/>
              <w:spacing w:after="0" w:line="252"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(4)</w:t>
            </w:r>
          </w:p>
        </w:tc>
        <w:tc>
          <w:tcPr>
            <w:tcW w:w="1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1,008</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853</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73,968</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50,955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44,036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25,603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40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-2353945</wp:posOffset>
            </wp:positionV>
            <wp:extent cx="7747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-2353945</wp:posOffset>
            </wp:positionV>
            <wp:extent cx="6858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-2353945</wp:posOffset>
            </wp:positionV>
            <wp:extent cx="6858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289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371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-1033780</wp:posOffset>
            </wp:positionV>
            <wp:extent cx="7747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-1033780</wp:posOffset>
            </wp:positionV>
            <wp:extent cx="6858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-1033780</wp:posOffset>
            </wp:positionV>
            <wp:extent cx="6858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1371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-487680</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-471170</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-487680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-471170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-487680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-471170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ind w:right="20" w:firstLine="224"/>
        <w:spacing w:after="0" w:line="261" w:lineRule="auto"/>
        <w:rPr>
          <w:sz w:val="20"/>
          <w:szCs w:val="20"/>
          <w:color w:val="auto"/>
        </w:rPr>
      </w:pPr>
      <w:r>
        <w:rPr>
          <w:rFonts w:ascii="Arial" w:cs="Arial" w:eastAsia="Arial" w:hAnsi="Arial"/>
          <w:sz w:val="18"/>
          <w:szCs w:val="18"/>
          <w:color w:val="auto"/>
        </w:rPr>
        <w:t>The following table presents the Company’s revenue and gross margin (margin loss) by category and reportable segment for the six months ended June 30, 2022 and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9"/>
                <w:szCs w:val="19"/>
                <w:b w:val="1"/>
                <w:bCs w:val="1"/>
                <w:color w:val="auto"/>
                <w:vertAlign w:val="superscript"/>
              </w:rPr>
              <w:t>(1)</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Gross Margin (Margin Loss)</w:t>
            </w:r>
          </w:p>
        </w:tc>
        <w:tc>
          <w:tcPr>
            <w:tcW w:w="0" w:type="dxa"/>
            <w:vAlign w:val="bottom"/>
          </w:tcPr>
          <w:p>
            <w:pPr>
              <w:spacing w:after="0"/>
              <w:rPr>
                <w:sz w:val="1"/>
                <w:szCs w:val="1"/>
                <w:color w:val="auto"/>
              </w:rPr>
            </w:pP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IMAX Technology Network</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IMAX DMR</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47,145</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23,737</w:t>
            </w:r>
          </w:p>
        </w:tc>
        <w:tc>
          <w:tcPr>
            <w:tcW w:w="4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31,557</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JRSA, contingent rent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31,168</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16,221</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19,087</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3,673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IMAX Technology Sales and Maintenance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78,313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39,958</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50,644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7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120"/>
              <w:spacing w:after="0" w:line="243"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(2)</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16,849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21,881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JRSA, fixed fees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80" w:type="dxa"/>
            <w:vAlign w:val="bottom"/>
            <w:gridSpan w:val="2"/>
          </w:tcPr>
          <w:p>
            <w:pPr>
              <w:ind w:left="120"/>
              <w:spacing w:after="0" w:line="162" w:lineRule="exact"/>
              <w:rPr>
                <w:sz w:val="20"/>
                <w:szCs w:val="20"/>
                <w:color w:val="auto"/>
              </w:rPr>
            </w:pPr>
            <w:r>
              <w:rPr>
                <w:rFonts w:ascii="Arial" w:cs="Arial" w:eastAsia="Arial" w:hAnsi="Arial"/>
                <w:sz w:val="18"/>
                <w:szCs w:val="18"/>
                <w:color w:val="auto"/>
              </w:rPr>
              <w:t>IMAX Maintenance</w:t>
            </w: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8"/>
                <w:szCs w:val="18"/>
                <w:color w:val="auto"/>
              </w:rPr>
              <w:t>29,625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8"/>
                <w:szCs w:val="18"/>
                <w:color w:val="auto"/>
              </w:rPr>
              <w:t>20,141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8"/>
                <w:szCs w:val="18"/>
                <w:color w:val="auto"/>
              </w:rPr>
              <w:t>15,237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8"/>
                <w:szCs w:val="18"/>
                <w:color w:val="auto"/>
              </w:rPr>
              <w:t>8,898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120"/>
              <w:spacing w:after="0" w:line="243" w:lineRule="exact"/>
              <w:rPr>
                <w:sz w:val="20"/>
                <w:szCs w:val="20"/>
                <w:color w:val="auto"/>
              </w:rPr>
            </w:pPr>
            <w:r>
              <w:rPr>
                <w:rFonts w:ascii="Arial" w:cs="Arial" w:eastAsia="Arial" w:hAnsi="Arial"/>
                <w:sz w:val="18"/>
                <w:szCs w:val="18"/>
                <w:color w:val="auto"/>
              </w:rPr>
              <w:t>Other Theater Business</w:t>
            </w:r>
            <w:r>
              <w:rPr>
                <w:rFonts w:ascii="Arial" w:cs="Arial" w:eastAsia="Arial" w:hAnsi="Arial"/>
                <w:sz w:val="24"/>
                <w:szCs w:val="24"/>
                <w:color w:val="auto"/>
                <w:vertAlign w:val="superscript"/>
              </w:rPr>
              <w:t>(3)</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49,552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45,682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25,019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Film Distribution and Post-Production</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Film Distribution</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(2,262 )</w:t>
            </w:r>
          </w:p>
        </w:tc>
        <w:tc>
          <w:tcPr>
            <w:tcW w:w="28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Post-Production</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874</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2"/>
            <w:vMerge w:val="restart"/>
          </w:tcPr>
          <w:p>
            <w:pPr>
              <w:ind w:left="20"/>
              <w:spacing w:after="0"/>
              <w:rPr>
                <w:sz w:val="20"/>
                <w:szCs w:val="20"/>
                <w:color w:val="auto"/>
              </w:rPr>
            </w:pPr>
            <w:r>
              <w:rPr>
                <w:rFonts w:ascii="Arial" w:cs="Arial" w:eastAsia="Arial" w:hAnsi="Arial"/>
                <w:sz w:val="18"/>
                <w:szCs w:val="18"/>
                <w:color w:val="auto"/>
              </w:rPr>
              <w:t>Sub-total for reportable segments</w:t>
            </w: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3,369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2,403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(1,388 )</w:t>
            </w:r>
          </w:p>
        </w:tc>
        <w:tc>
          <w:tcPr>
            <w:tcW w:w="2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78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131,234</w:t>
            </w: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88,043</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74,275</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42,532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(4)</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134,004</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89,709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75,807</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42,884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-2028190</wp:posOffset>
            </wp:positionV>
            <wp:extent cx="7747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-2028190</wp:posOffset>
            </wp:positionV>
            <wp:extent cx="6858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-2028190</wp:posOffset>
            </wp:positionV>
            <wp:extent cx="6858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-2028190</wp:posOffset>
            </wp:positionV>
            <wp:extent cx="6858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289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371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-708025</wp:posOffset>
            </wp:positionV>
            <wp:extent cx="7747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-708025</wp:posOffset>
            </wp:positionV>
            <wp:extent cx="6858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-708025</wp:posOffset>
            </wp:positionV>
            <wp:extent cx="6858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289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-153670</wp:posOffset>
            </wp:positionV>
            <wp:extent cx="774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48"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largest customer represents 17% and 15%, respectively, of total Revenues for the three and six months ended June 30, 2022 (2021 — 20% and 25%, respectively). No single customer comprises more than 10% of the Company’s total Accounts Receivable as of June 30, 2022 and December 31, 2021.</w:t>
      </w:r>
    </w:p>
    <w:p>
      <w:pPr>
        <w:spacing w:after="0" w:line="141" w:lineRule="exact"/>
        <w:rPr>
          <w:rFonts w:ascii="Arial" w:cs="Arial" w:eastAsia="Arial" w:hAnsi="Arial"/>
          <w:sz w:val="18"/>
          <w:szCs w:val="18"/>
          <w:color w:val="auto"/>
        </w:rPr>
      </w:pPr>
    </w:p>
    <w:p>
      <w:pPr>
        <w:jc w:val="both"/>
        <w:ind w:left="380" w:hanging="372"/>
        <w:spacing w:after="0" w:line="270"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36" w:lineRule="exact"/>
        <w:rPr>
          <w:rFonts w:ascii="Arial" w:cs="Arial" w:eastAsia="Arial" w:hAnsi="Arial"/>
          <w:sz w:val="17"/>
          <w:szCs w:val="17"/>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Theater System parts and 3D glasses.</w:t>
      </w:r>
    </w:p>
    <w:p>
      <w:pPr>
        <w:spacing w:after="0" w:line="171" w:lineRule="exact"/>
        <w:rPr>
          <w:rFonts w:ascii="Arial" w:cs="Arial" w:eastAsia="Arial" w:hAnsi="Arial"/>
          <w:sz w:val="18"/>
          <w:szCs w:val="18"/>
          <w:color w:val="auto"/>
        </w:rPr>
      </w:pPr>
    </w:p>
    <w:p>
      <w:pPr>
        <w:jc w:val="both"/>
        <w:ind w:left="380" w:hanging="372"/>
        <w:spacing w:after="0" w:line="248"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includes the results from IMAX Enhanced and other ancillary activities. In the second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8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Company's revenues by geographic area for the three and six months ended June 30, 2022 and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6"/>
                <w:szCs w:val="16"/>
                <w:color w:val="auto"/>
              </w:rPr>
            </w:pPr>
          </w:p>
        </w:tc>
      </w:tr>
      <w:tr>
        <w:trPr>
          <w:trHeight w:val="201"/>
        </w:trPr>
        <w:tc>
          <w:tcPr>
            <w:tcW w:w="15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left="101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tcBorders>
              <w:bottom w:val="single" w:sz="8" w:color="auto"/>
            </w:tcBorders>
          </w:tcPr>
          <w:p>
            <w:pPr>
              <w:spacing w:after="0"/>
              <w:rPr>
                <w:sz w:val="17"/>
                <w:szCs w:val="17"/>
                <w:color w:val="auto"/>
              </w:rPr>
            </w:pPr>
          </w:p>
        </w:tc>
      </w:tr>
      <w:tr>
        <w:trPr>
          <w:trHeight w:val="183"/>
        </w:trPr>
        <w:tc>
          <w:tcPr>
            <w:tcW w:w="3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38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33,646</w:t>
            </w:r>
          </w:p>
        </w:tc>
        <w:tc>
          <w:tcPr>
            <w:tcW w:w="40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14,107</w:t>
            </w: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52,713</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17,806</w:t>
            </w:r>
          </w:p>
        </w:tc>
      </w:tr>
      <w:tr>
        <w:trPr>
          <w:trHeight w:val="203"/>
        </w:trPr>
        <w:tc>
          <w:tcPr>
            <w:tcW w:w="3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Greater China</w:t>
            </w:r>
          </w:p>
        </w:tc>
        <w:tc>
          <w:tcPr>
            <w:tcW w:w="380" w:type="dxa"/>
            <w:vAlign w:val="bottom"/>
          </w:tcPr>
          <w:p>
            <w:pPr>
              <w:spacing w:after="0"/>
              <w:rPr>
                <w:sz w:val="17"/>
                <w:szCs w:val="17"/>
                <w:color w:val="auto"/>
              </w:rPr>
            </w:pP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11,237</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27,913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32,713</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53,431</w:t>
            </w:r>
          </w:p>
        </w:tc>
      </w:tr>
      <w:tr>
        <w:trPr>
          <w:trHeight w:val="203"/>
        </w:trPr>
        <w:tc>
          <w:tcPr>
            <w:tcW w:w="38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Asia (excluding China)</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11,357</w:t>
            </w:r>
          </w:p>
        </w:tc>
        <w:tc>
          <w:tcPr>
            <w:tcW w:w="4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3,610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17,124</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7,912</w:t>
            </w:r>
          </w:p>
        </w:tc>
      </w:tr>
      <w:tr>
        <w:trPr>
          <w:trHeight w:val="203"/>
        </w:trPr>
        <w:tc>
          <w:tcPr>
            <w:tcW w:w="3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Western Europe</w:t>
            </w:r>
          </w:p>
        </w:tc>
        <w:tc>
          <w:tcPr>
            <w:tcW w:w="380" w:type="dxa"/>
            <w:vAlign w:val="bottom"/>
          </w:tcPr>
          <w:p>
            <w:pPr>
              <w:spacing w:after="0"/>
              <w:rPr>
                <w:sz w:val="17"/>
                <w:szCs w:val="17"/>
                <w:color w:val="auto"/>
              </w:rPr>
            </w:pP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10,701</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17,762</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3,526</w:t>
            </w:r>
          </w:p>
        </w:tc>
      </w:tr>
      <w:tr>
        <w:trPr>
          <w:trHeight w:val="203"/>
        </w:trPr>
        <w:tc>
          <w:tcPr>
            <w:tcW w:w="38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Latin America</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2,543</w:t>
            </w:r>
          </w:p>
        </w:tc>
        <w:tc>
          <w:tcPr>
            <w:tcW w:w="4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4,429</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398</w:t>
            </w:r>
          </w:p>
        </w:tc>
      </w:tr>
      <w:tr>
        <w:trPr>
          <w:trHeight w:val="203"/>
        </w:trPr>
        <w:tc>
          <w:tcPr>
            <w:tcW w:w="380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Canada</w:t>
            </w:r>
            <w:r>
              <w:rPr>
                <w:rFonts w:ascii="Arial" w:cs="Arial" w:eastAsia="Arial" w:hAnsi="Arial"/>
                <w:sz w:val="23"/>
                <w:szCs w:val="23"/>
                <w:color w:val="auto"/>
                <w:vertAlign w:val="superscript"/>
              </w:rPr>
              <w:t>(2)</w:t>
            </w:r>
          </w:p>
        </w:tc>
        <w:tc>
          <w:tcPr>
            <w:tcW w:w="380" w:type="dxa"/>
            <w:vAlign w:val="bottom"/>
          </w:tcPr>
          <w:p>
            <w:pPr>
              <w:spacing w:after="0"/>
              <w:rPr>
                <w:sz w:val="17"/>
                <w:szCs w:val="17"/>
                <w:color w:val="auto"/>
              </w:rPr>
            </w:pP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1,968</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3,740</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(463 )</w:t>
            </w:r>
          </w:p>
        </w:tc>
      </w:tr>
      <w:tr>
        <w:trPr>
          <w:trHeight w:val="203"/>
        </w:trPr>
        <w:tc>
          <w:tcPr>
            <w:tcW w:w="38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Russia/the CIS &amp; Ukraine</w:t>
            </w:r>
            <w:r>
              <w:rPr>
                <w:rFonts w:ascii="Arial" w:cs="Arial" w:eastAsia="Arial" w:hAnsi="Arial"/>
                <w:sz w:val="23"/>
                <w:szCs w:val="23"/>
                <w:color w:val="auto"/>
                <w:vertAlign w:val="superscript"/>
              </w:rPr>
              <w:t>(1)</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146</w:t>
            </w:r>
          </w:p>
        </w:tc>
        <w:tc>
          <w:tcPr>
            <w:tcW w:w="4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1,338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1,156</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3,224</w:t>
            </w:r>
          </w:p>
        </w:tc>
      </w:tr>
      <w:tr>
        <w:trPr>
          <w:trHeight w:val="203"/>
        </w:trPr>
        <w:tc>
          <w:tcPr>
            <w:tcW w:w="3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 of the World</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2,370</w:t>
            </w:r>
          </w:p>
        </w:tc>
        <w:tc>
          <w:tcPr>
            <w:tcW w:w="4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1,395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4,367</w:t>
            </w: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3,875</w:t>
            </w:r>
          </w:p>
        </w:tc>
      </w:tr>
      <w:tr>
        <w:trPr>
          <w:trHeight w:val="236"/>
        </w:trPr>
        <w:tc>
          <w:tcPr>
            <w:tcW w:w="380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73,968</w:t>
            </w:r>
          </w:p>
        </w:tc>
        <w:tc>
          <w:tcPr>
            <w:tcW w:w="4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50,955</w:t>
            </w:r>
          </w:p>
        </w:tc>
        <w:tc>
          <w:tcPr>
            <w:tcW w:w="40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134,004</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89,709</w:t>
            </w:r>
          </w:p>
        </w:tc>
      </w:tr>
      <w:tr>
        <w:trPr>
          <w:trHeight w:val="197"/>
        </w:trPr>
        <w:tc>
          <w:tcPr>
            <w:tcW w:w="1500" w:type="dxa"/>
            <w:vAlign w:val="bottom"/>
            <w:tcBorders>
              <w:bottom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-170815</wp:posOffset>
            </wp:positionV>
            <wp:extent cx="12890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-153670</wp:posOffset>
            </wp:positionV>
            <wp:extent cx="1289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12001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-153670</wp:posOffset>
            </wp:positionV>
            <wp:extent cx="12001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12001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-153670</wp:posOffset>
            </wp:positionV>
            <wp:extent cx="12001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4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Russia, the CIS includes Azerbaijan, Belarus, Kazakhstan, and Kyrgyzstan. In March 2022, in response to the ongoing conflict between Russia and Ukraine and resulting sanctions, the Company suspended its operations in Russia and Belarus. As of June 30, 2022, the IMAX network includes 54 theaters in Russia, nine theaters in Ukraine, and one theater in Belarus.</w:t>
      </w:r>
    </w:p>
    <w:p>
      <w:pPr>
        <w:spacing w:after="0" w:line="73"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six months ended June 30, 2021, the amount attributable to Canada includes a $0.5 million reversal of previously recorded revenue and a corresponding reduction in the net investment in lease as a result of a lease modification entered into during the period.</w:t>
      </w:r>
    </w:p>
    <w:p>
      <w:pPr>
        <w:spacing w:after="0" w:line="144" w:lineRule="exact"/>
        <w:rPr>
          <w:sz w:val="20"/>
          <w:szCs w:val="20"/>
          <w:color w:val="auto"/>
        </w:rPr>
      </w:pPr>
    </w:p>
    <w:p>
      <w:pPr>
        <w:ind w:firstLine="224"/>
        <w:spacing w:after="0" w:line="261"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comprises more than 10% of the Company’s total revenue in the six months ended June 30, 2022 and 2021.</w:t>
      </w:r>
    </w:p>
    <w:p>
      <w:pPr>
        <w:spacing w:after="0" w:line="11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48" w:lineRule="exact"/>
        <w:rPr>
          <w:rFonts w:ascii="Arial" w:cs="Arial" w:eastAsia="Arial" w:hAnsi="Arial"/>
          <w:sz w:val="18"/>
          <w:szCs w:val="18"/>
          <w:b w:val="1"/>
          <w:bCs w:val="1"/>
          <w:color w:val="auto"/>
        </w:rPr>
      </w:pPr>
    </w:p>
    <w:p>
      <w:pPr>
        <w:ind w:left="600" w:hanging="368"/>
        <w:spacing w:after="0"/>
        <w:tabs>
          <w:tab w:leader="none" w:pos="600"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71" w:lineRule="exact"/>
        <w:rPr>
          <w:sz w:val="20"/>
          <w:szCs w:val="20"/>
          <w:color w:val="auto"/>
        </w:rPr>
      </w:pPr>
    </w:p>
    <w:p>
      <w:pPr>
        <w:jc w:val="both"/>
        <w:ind w:firstLine="224"/>
        <w:spacing w:after="0" w:line="274" w:lineRule="auto"/>
        <w:rPr>
          <w:sz w:val="20"/>
          <w:szCs w:val="20"/>
          <w:color w:val="auto"/>
        </w:rPr>
      </w:pPr>
      <w:r>
        <w:rPr>
          <w:rFonts w:ascii="Arial" w:cs="Arial" w:eastAsia="Arial" w:hAnsi="Arial"/>
          <w:sz w:val="16"/>
          <w:szCs w:val="16"/>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2022 and December 31, 2021, the Company’s projected benefit obligation and unfunded status related to the SERP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3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Projected benefit obligation:</w:t>
            </w:r>
          </w:p>
        </w:tc>
        <w:tc>
          <w:tcPr>
            <w:tcW w:w="324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r>
      <w:tr>
        <w:trPr>
          <w:trHeight w:val="203"/>
        </w:trPr>
        <w:tc>
          <w:tcPr>
            <w:tcW w:w="4480" w:type="dxa"/>
            <w:vAlign w:val="bottom"/>
          </w:tcPr>
          <w:p>
            <w:pPr>
              <w:ind w:left="120"/>
              <w:spacing w:after="0" w:line="202" w:lineRule="exact"/>
              <w:rPr>
                <w:sz w:val="20"/>
                <w:szCs w:val="20"/>
                <w:color w:val="auto"/>
              </w:rPr>
            </w:pPr>
            <w:r>
              <w:rPr>
                <w:rFonts w:ascii="Arial" w:cs="Arial" w:eastAsia="Arial" w:hAnsi="Arial"/>
                <w:sz w:val="18"/>
                <w:szCs w:val="18"/>
                <w:color w:val="auto"/>
              </w:rPr>
              <w:t>Obligation, beginning of period</w:t>
            </w:r>
          </w:p>
        </w:tc>
        <w:tc>
          <w:tcPr>
            <w:tcW w:w="4300" w:type="dxa"/>
            <w:vAlign w:val="bottom"/>
            <w:gridSpan w:val="2"/>
          </w:tcPr>
          <w:p>
            <w:pPr>
              <w:jc w:val="right"/>
              <w:ind w:right="859"/>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7"/>
              </w:rPr>
              <w:t>20,056</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20,116</w:t>
            </w:r>
          </w:p>
        </w:tc>
      </w:tr>
      <w:tr>
        <w:trPr>
          <w:trHeight w:val="203"/>
        </w:trPr>
        <w:tc>
          <w:tcPr>
            <w:tcW w:w="44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cost</w:t>
            </w:r>
          </w:p>
        </w:tc>
        <w:tc>
          <w:tcPr>
            <w:tcW w:w="3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72</w:t>
            </w:r>
          </w:p>
        </w:tc>
      </w:tr>
      <w:tr>
        <w:trPr>
          <w:trHeight w:val="203"/>
        </w:trPr>
        <w:tc>
          <w:tcPr>
            <w:tcW w:w="4480" w:type="dxa"/>
            <w:vAlign w:val="bottom"/>
          </w:tcPr>
          <w:p>
            <w:pPr>
              <w:ind w:left="120"/>
              <w:spacing w:after="0" w:line="202" w:lineRule="exact"/>
              <w:rPr>
                <w:sz w:val="20"/>
                <w:szCs w:val="20"/>
                <w:color w:val="auto"/>
              </w:rPr>
            </w:pPr>
            <w:r>
              <w:rPr>
                <w:rFonts w:ascii="Arial" w:cs="Arial" w:eastAsia="Arial" w:hAnsi="Arial"/>
                <w:sz w:val="18"/>
                <w:szCs w:val="18"/>
                <w:color w:val="auto"/>
              </w:rPr>
              <w:t>Actuarial gain</w:t>
            </w:r>
          </w:p>
        </w:tc>
        <w:tc>
          <w:tcPr>
            <w:tcW w:w="32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(132 )</w:t>
            </w:r>
          </w:p>
        </w:tc>
      </w:tr>
      <w:tr>
        <w:trPr>
          <w:trHeight w:val="236"/>
        </w:trPr>
        <w:tc>
          <w:tcPr>
            <w:tcW w:w="448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Obligation, end of period and unfunded status</w:t>
            </w:r>
          </w:p>
        </w:tc>
        <w:tc>
          <w:tcPr>
            <w:tcW w:w="32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20,136</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20,056</w:t>
            </w:r>
          </w:p>
        </w:tc>
      </w:tr>
      <w:tr>
        <w:trPr>
          <w:trHeight w:val="615"/>
        </w:trPr>
        <w:tc>
          <w:tcPr>
            <w:tcW w:w="4480" w:type="dxa"/>
            <w:vAlign w:val="bottom"/>
          </w:tcPr>
          <w:p>
            <w:pPr>
              <w:spacing w:after="0"/>
              <w:rPr>
                <w:sz w:val="24"/>
                <w:szCs w:val="24"/>
                <w:color w:val="auto"/>
              </w:rPr>
            </w:pPr>
          </w:p>
        </w:tc>
        <w:tc>
          <w:tcPr>
            <w:tcW w:w="3240" w:type="dxa"/>
            <w:vAlign w:val="bottom"/>
          </w:tcPr>
          <w:p>
            <w:pPr>
              <w:jc w:val="right"/>
              <w:ind w:right="1916"/>
              <w:spacing w:after="0"/>
              <w:rPr>
                <w:sz w:val="20"/>
                <w:szCs w:val="20"/>
                <w:color w:val="auto"/>
              </w:rPr>
            </w:pPr>
            <w:r>
              <w:rPr>
                <w:rFonts w:ascii="Arial" w:cs="Arial" w:eastAsia="Arial" w:hAnsi="Arial"/>
                <w:sz w:val="18"/>
                <w:szCs w:val="18"/>
                <w:color w:val="auto"/>
              </w:rPr>
              <w:t>42</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8"/>
        </w:trPr>
        <w:tc>
          <w:tcPr>
            <w:tcW w:w="448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-496570</wp:posOffset>
            </wp:positionV>
            <wp:extent cx="939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-479425</wp:posOffset>
            </wp:positionV>
            <wp:extent cx="939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2" w:name="page43"/>
    <w:bookmarkEnd w:id="42"/>
    <w:p>
      <w:pPr>
        <w:jc w:val="both"/>
        <w:ind w:firstLine="223"/>
        <w:spacing w:after="0" w:line="248" w:lineRule="auto"/>
        <w:rPr>
          <w:sz w:val="20"/>
          <w:szCs w:val="20"/>
          <w:color w:val="auto"/>
        </w:rPr>
      </w:pPr>
      <w:r>
        <w:rPr>
          <w:rFonts w:ascii="Arial" w:cs="Arial" w:eastAsia="Arial" w:hAnsi="Arial"/>
          <w:sz w:val="18"/>
          <w:szCs w:val="18"/>
          <w:color w:val="auto"/>
        </w:rPr>
        <w:t>For the three and six months ended June 30, 2022, the Company recorded interest costs of less than $0.1 million and $0.1 million, respectively (2021 — less than $0.1 million) related to the SERP. The Company expects to recognize additional interest costs of $0.1 million related to the SERP during the remainder of 2022. No contributions are expected to be made to the SERP in 2022.</w:t>
      </w:r>
    </w:p>
    <w:p>
      <w:pPr>
        <w:spacing w:after="0" w:line="155"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Defined Contribution Pension Plan</w:t>
      </w:r>
    </w:p>
    <w:p>
      <w:pPr>
        <w:spacing w:after="0" w:line="171"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six months ended June 30, 2022, the Company contributed and recorded expense of $0.3 million and $0.6 million, respectively (2021 — $0.3 million and $0.6 million, respectively) to its Canadian defined contribution plan and $0.1 million and $0.4 million, respectively (2021 — $0.1 million and $0.3 million, respectively) to its defined contribution employee plan under Section 401(k) of the U.S. Internal Revenue Code.</w:t>
      </w:r>
    </w:p>
    <w:p>
      <w:pPr>
        <w:spacing w:after="0" w:line="13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Postretirement Benefits – Executives</w:t>
      </w:r>
    </w:p>
    <w:p>
      <w:pPr>
        <w:spacing w:after="0" w:line="185" w:lineRule="exact"/>
        <w:rPr>
          <w:sz w:val="20"/>
          <w:szCs w:val="20"/>
          <w:color w:val="auto"/>
        </w:rPr>
      </w:pPr>
    </w:p>
    <w:p>
      <w:pPr>
        <w:jc w:val="both"/>
        <w:ind w:firstLine="223"/>
        <w:spacing w:after="0" w:line="279" w:lineRule="auto"/>
        <w:rPr>
          <w:sz w:val="20"/>
          <w:szCs w:val="20"/>
          <w:color w:val="auto"/>
        </w:rPr>
      </w:pPr>
      <w:r>
        <w:rPr>
          <w:rFonts w:ascii="Arial" w:cs="Arial" w:eastAsia="Arial" w:hAnsi="Arial"/>
          <w:sz w:val="16"/>
          <w:szCs w:val="16"/>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The Company maintained Mr. Wechsler’s health benefits through December 31, 2021, and thereafter is providing him with Medicare supplemental coverage.</w:t>
      </w:r>
    </w:p>
    <w:p>
      <w:pPr>
        <w:spacing w:after="0" w:line="119" w:lineRule="exact"/>
        <w:rPr>
          <w:sz w:val="20"/>
          <w:szCs w:val="20"/>
          <w:color w:val="auto"/>
        </w:rPr>
      </w:pPr>
    </w:p>
    <w:p>
      <w:pPr>
        <w:jc w:val="both"/>
        <w:ind w:firstLine="223"/>
        <w:spacing w:after="0" w:line="248" w:lineRule="auto"/>
        <w:rPr>
          <w:sz w:val="20"/>
          <w:szCs w:val="20"/>
          <w:color w:val="auto"/>
        </w:rPr>
      </w:pPr>
      <w:r>
        <w:rPr>
          <w:rFonts w:ascii="Arial" w:cs="Arial" w:eastAsia="Arial" w:hAnsi="Arial"/>
          <w:sz w:val="18"/>
          <w:szCs w:val="18"/>
          <w:color w:val="auto"/>
        </w:rPr>
        <w:t>As of June 30, 2022, the Company’s postretirement benefits obligation under this plan is $0.7 million (December 31, 2021 — $0.7 million). For the three and six months ended June 30, 2022, the Company has recorded an expense of less than $0.1 million (2021 — less than $0.1 million) related to this plan.</w:t>
      </w:r>
    </w:p>
    <w:p>
      <w:pPr>
        <w:spacing w:after="0" w:line="14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Postretirement Benefits – Canadian Employees</w:t>
      </w:r>
    </w:p>
    <w:p>
      <w:pPr>
        <w:spacing w:after="0" w:line="185"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The Company has an unfunded postretirement plan for its Canadian employees meeting specific eligibility requirements. The Company will provide eligible participants, upon retirement, with health and welfare benefits. As of June 30, 2022, the Company’s postretirement benefits obligation under this plan is $1.6 million (December 31, 2021 — $1.7 million). For the three and six months ended June 30, 2022, the Company has recorded expense of less than $0.1 million and $0.1 million, respectively, (2021 — less than $0.1 million) related to this plan.</w:t>
      </w:r>
    </w:p>
    <w:p>
      <w:pPr>
        <w:spacing w:after="0" w:line="118"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Deferred Compensation Benefit Plan</w:t>
      </w:r>
    </w:p>
    <w:p>
      <w:pPr>
        <w:spacing w:after="0" w:line="158"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161"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As of June 30, 2022, the benefit obligation related to the Retirement Plan was $3.9 million (December 31, 2021 — $3.8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147" w:lineRule="exact"/>
        <w:rPr>
          <w:sz w:val="20"/>
          <w:szCs w:val="20"/>
          <w:color w:val="auto"/>
        </w:rPr>
      </w:pPr>
    </w:p>
    <w:p>
      <w:pPr>
        <w:jc w:val="both"/>
        <w:ind w:firstLine="224"/>
        <w:spacing w:after="0" w:line="274" w:lineRule="auto"/>
        <w:rPr>
          <w:sz w:val="20"/>
          <w:szCs w:val="20"/>
          <w:color w:val="auto"/>
        </w:rPr>
      </w:pPr>
      <w:r>
        <w:rPr>
          <w:rFonts w:ascii="Arial" w:cs="Arial" w:eastAsia="Arial" w:hAnsi="Arial"/>
          <w:sz w:val="16"/>
          <w:szCs w:val="16"/>
          <w:color w:val="auto"/>
        </w:rPr>
        <w:t>The Retirement Plan is funded by an investment in company-owned life insurance (“COLI”), which is recorded at its fair value on the Company’s Condensed Consolidated Balance Sheets within Prepaid Expenses. As of June 30, 2022, fair value of the COLI asset was $3.3 million (December 31, 2021</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$3.3 million). Gains and losses resulting from changes in the cash surrender value of the COLI asset are recognized in the Condensed Consolidated Statements of Operations within Realized and Unrealized Investment Gains.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Instruments</w:t>
      </w:r>
    </w:p>
    <w:p>
      <w:pPr>
        <w:spacing w:after="0" w:line="171"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The Company maintains cash with various major financial institutions. The Company’s cash is invested with highly rated financial institutions. The Company’s $110.1 million balance of cash and cash equivalents as of June 30, 2022 (December 31, 2021 — $189.7 million) includes $86.4 million in cash held outside of Canada (December 31, 2021 — $102.1 million), of which $58.5 million was held in the PRC (December 31, 2021 — $76.3 million).</w:t>
      </w:r>
    </w:p>
    <w:p>
      <w:pPr>
        <w:spacing w:after="0" w:line="107"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18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carrying values of the Company’s Cash and Cash Equivalents, Accounts Receivable, Accounts Payable and Accrued and Other Liabilities due within one year approximate their fair values due to the short-term maturity of these instruments. Including these instruments, the Company’s financial instruments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As of June 30,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313"/>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8"/>
                <w:szCs w:val="18"/>
                <w:color w:val="auto"/>
                <w:w w:val="92"/>
              </w:rPr>
              <w:t>Level 1</w:t>
            </w:r>
          </w:p>
        </w:tc>
        <w:tc>
          <w:tcPr>
            <w:tcW w:w="5160" w:type="dxa"/>
            <w:vAlign w:val="bottom"/>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110,112</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3"/>
              <w:spacing w:after="0"/>
              <w:rPr>
                <w:sz w:val="20"/>
                <w:szCs w:val="20"/>
                <w:color w:val="auto"/>
              </w:rPr>
            </w:pPr>
            <w:r>
              <w:rPr>
                <w:rFonts w:ascii="Arial" w:cs="Arial" w:eastAsia="Arial" w:hAnsi="Arial"/>
                <w:sz w:val="18"/>
                <w:szCs w:val="18"/>
                <w:color w:val="auto"/>
              </w:rPr>
              <w:t>110,112</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4"/>
              <w:spacing w:after="0"/>
              <w:rPr>
                <w:sz w:val="20"/>
                <w:szCs w:val="20"/>
                <w:color w:val="auto"/>
              </w:rPr>
            </w:pPr>
            <w:r>
              <w:rPr>
                <w:rFonts w:ascii="Arial" w:cs="Arial" w:eastAsia="Arial" w:hAnsi="Arial"/>
                <w:sz w:val="18"/>
                <w:szCs w:val="18"/>
                <w:color w:val="auto"/>
              </w:rPr>
              <w:t>189,711</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189,711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gridSpan w:val="3"/>
          </w:tcPr>
          <w:p>
            <w:pPr>
              <w:spacing w:after="0" w:line="169"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19"/>
                <w:szCs w:val="19"/>
                <w:color w:val="auto"/>
                <w:vertAlign w:val="superscript"/>
              </w:rPr>
              <w:t>(1)</w:t>
            </w: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3"/>
          </w:tcPr>
          <w:p>
            <w:pPr>
              <w:spacing w:after="0" w:line="243" w:lineRule="exact"/>
              <w:rPr>
                <w:sz w:val="20"/>
                <w:szCs w:val="20"/>
                <w:color w:val="auto"/>
              </w:rPr>
            </w:pPr>
            <w:r>
              <w:rPr>
                <w:rFonts w:ascii="Arial" w:cs="Arial" w:eastAsia="Arial" w:hAnsi="Arial"/>
                <w:sz w:val="18"/>
                <w:szCs w:val="18"/>
                <w:color w:val="auto"/>
              </w:rPr>
              <w:t>Equity securities</w:t>
            </w:r>
            <w:r>
              <w:rPr>
                <w:rFonts w:ascii="Arial" w:cs="Arial" w:eastAsia="Arial" w:hAnsi="Arial"/>
                <w:sz w:val="24"/>
                <w:szCs w:val="24"/>
                <w:color w:val="auto"/>
                <w:vertAlign w:val="superscript"/>
              </w:rPr>
              <w:t>(2)</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92"/>
              </w:rPr>
              <w:t>Level 2</w:t>
            </w:r>
          </w:p>
        </w:tc>
        <w:tc>
          <w:tcPr>
            <w:tcW w:w="516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100,460</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3"/>
              <w:spacing w:after="0"/>
              <w:rPr>
                <w:sz w:val="20"/>
                <w:szCs w:val="20"/>
                <w:color w:val="auto"/>
              </w:rPr>
            </w:pPr>
            <w:r>
              <w:rPr>
                <w:rFonts w:ascii="Arial" w:cs="Arial" w:eastAsia="Arial" w:hAnsi="Arial"/>
                <w:sz w:val="18"/>
                <w:szCs w:val="18"/>
                <w:color w:val="auto"/>
              </w:rPr>
              <w:t>100,106</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4"/>
              <w:spacing w:after="0"/>
              <w:rPr>
                <w:sz w:val="20"/>
                <w:szCs w:val="20"/>
                <w:color w:val="auto"/>
              </w:rPr>
            </w:pPr>
            <w:r>
              <w:rPr>
                <w:rFonts w:ascii="Arial" w:cs="Arial" w:eastAsia="Arial" w:hAnsi="Arial"/>
                <w:sz w:val="18"/>
                <w:szCs w:val="18"/>
                <w:color w:val="auto"/>
              </w:rPr>
              <w:t>112,657</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112,662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gridSpan w:val="3"/>
          </w:tcPr>
          <w:p>
            <w:pPr>
              <w:spacing w:after="0" w:line="169" w:lineRule="exact"/>
              <w:rPr>
                <w:sz w:val="20"/>
                <w:szCs w:val="20"/>
                <w:color w:val="auto"/>
              </w:rPr>
            </w:pPr>
            <w:r>
              <w:rPr>
                <w:rFonts w:ascii="Arial" w:cs="Arial" w:eastAsia="Arial" w:hAnsi="Arial"/>
                <w:sz w:val="15"/>
                <w:szCs w:val="15"/>
                <w:color w:val="auto"/>
              </w:rPr>
              <w:t>Net financed sales receivables</w:t>
            </w:r>
            <w:r>
              <w:rPr>
                <w:rFonts w:ascii="Arial" w:cs="Arial" w:eastAsia="Arial" w:hAnsi="Arial"/>
                <w:sz w:val="19"/>
                <w:szCs w:val="19"/>
                <w:color w:val="auto"/>
                <w:vertAlign w:val="superscript"/>
              </w:rPr>
              <w:t>(3)</w:t>
            </w: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tcPr>
          <w:p>
            <w:pPr>
              <w:spacing w:after="0" w:line="202" w:lineRule="exact"/>
              <w:rPr>
                <w:sz w:val="20"/>
                <w:szCs w:val="20"/>
                <w:color w:val="auto"/>
              </w:rPr>
            </w:pPr>
            <w:r>
              <w:rPr>
                <w:rFonts w:ascii="Arial" w:cs="Arial" w:eastAsia="Arial" w:hAnsi="Arial"/>
                <w:sz w:val="17"/>
                <w:szCs w:val="17"/>
                <w:color w:val="auto"/>
              </w:rPr>
              <w:t>Net investment in sales-type leases</w:t>
            </w:r>
            <w:r>
              <w:rPr>
                <w:rFonts w:ascii="Arial" w:cs="Arial" w:eastAsia="Arial" w:hAnsi="Arial"/>
                <w:sz w:val="23"/>
                <w:szCs w:val="23"/>
                <w:color w:val="auto"/>
                <w:vertAlign w:val="superscript"/>
              </w:rPr>
              <w:t>(3)</w:t>
            </w:r>
          </w:p>
        </w:tc>
        <w:tc>
          <w:tcPr>
            <w:tcW w:w="20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26,713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26,765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28,392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tcPr>
          <w:p>
            <w:pPr>
              <w:spacing w:after="0" w:line="202" w:lineRule="exact"/>
              <w:rPr>
                <w:sz w:val="20"/>
                <w:szCs w:val="20"/>
                <w:color w:val="auto"/>
              </w:rPr>
            </w:pPr>
            <w:r>
              <w:rPr>
                <w:rFonts w:ascii="Arial" w:cs="Arial" w:eastAsia="Arial" w:hAnsi="Arial"/>
                <w:sz w:val="17"/>
                <w:szCs w:val="17"/>
                <w:color w:val="auto"/>
              </w:rPr>
              <w:t>Equity securities</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tcPr>
          <w:p>
            <w:pPr>
              <w:spacing w:after="0" w:line="202" w:lineRule="exact"/>
              <w:rPr>
                <w:sz w:val="20"/>
                <w:szCs w:val="20"/>
                <w:color w:val="auto"/>
              </w:rPr>
            </w:pPr>
            <w:r>
              <w:rPr>
                <w:rFonts w:ascii="Arial" w:cs="Arial" w:eastAsia="Arial" w:hAnsi="Arial"/>
                <w:sz w:val="17"/>
                <w:szCs w:val="17"/>
                <w:color w:val="auto"/>
              </w:rPr>
              <w:t>COLI</w:t>
            </w:r>
            <w:r>
              <w:rPr>
                <w:rFonts w:ascii="Arial" w:cs="Arial" w:eastAsia="Arial" w:hAnsi="Arial"/>
                <w:sz w:val="23"/>
                <w:szCs w:val="23"/>
                <w:color w:val="auto"/>
                <w:vertAlign w:val="superscript"/>
              </w:rPr>
              <w:t>(4)</w:t>
            </w:r>
          </w:p>
        </w:tc>
        <w:tc>
          <w:tcPr>
            <w:tcW w:w="20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3,335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3,335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3,275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tcPr>
          <w:p>
            <w:pPr>
              <w:spacing w:after="0" w:line="202" w:lineRule="exact"/>
              <w:rPr>
                <w:sz w:val="20"/>
                <w:szCs w:val="20"/>
                <w:color w:val="auto"/>
              </w:rPr>
            </w:pPr>
            <w:r>
              <w:rPr>
                <w:rFonts w:ascii="Arial" w:cs="Arial" w:eastAsia="Arial" w:hAnsi="Arial"/>
                <w:sz w:val="17"/>
                <w:szCs w:val="17"/>
                <w:color w:val="auto"/>
              </w:rPr>
              <w:t>Foreign exchange contracts — designated forwards</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(122 )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(122 )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tcPr>
          <w:p>
            <w:pPr>
              <w:spacing w:after="0" w:line="202" w:lineRule="exact"/>
              <w:rPr>
                <w:sz w:val="20"/>
                <w:szCs w:val="20"/>
                <w:color w:val="auto"/>
              </w:rPr>
            </w:pPr>
            <w:r>
              <w:rPr>
                <w:rFonts w:ascii="Arial" w:cs="Arial" w:eastAsia="Arial" w:hAnsi="Arial"/>
                <w:sz w:val="17"/>
                <w:szCs w:val="17"/>
                <w:color w:val="auto"/>
              </w:rPr>
              <w:t>Bank of China Facility borrowings</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(3,612 )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(3,612 )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3"/>
          </w:tcPr>
          <w:p>
            <w:pPr>
              <w:spacing w:after="0" w:line="243" w:lineRule="exact"/>
              <w:rPr>
                <w:sz w:val="20"/>
                <w:szCs w:val="20"/>
                <w:color w:val="auto"/>
              </w:rPr>
            </w:pPr>
            <w:r>
              <w:rPr>
                <w:rFonts w:ascii="Arial" w:cs="Arial" w:eastAsia="Arial" w:hAnsi="Arial"/>
                <w:sz w:val="18"/>
                <w:szCs w:val="18"/>
                <w:color w:val="auto"/>
              </w:rPr>
              <w:t>Convertible Notes</w:t>
            </w:r>
            <w:r>
              <w:rPr>
                <w:rFonts w:ascii="Arial" w:cs="Arial" w:eastAsia="Arial" w:hAnsi="Arial"/>
                <w:sz w:val="24"/>
                <w:szCs w:val="24"/>
                <w:color w:val="auto"/>
                <w:vertAlign w:val="superscript"/>
              </w:rPr>
              <w:t>(5)</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(230,000 )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(201,825 )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(230,000 )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(223,100 )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gridSpan w:val="3"/>
          </w:tcPr>
          <w:p>
            <w:pPr>
              <w:spacing w:after="0" w:line="162" w:lineRule="exact"/>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Interest</w:t>
            </w:r>
          </w:p>
        </w:tc>
        <w:tc>
          <w:tcPr>
            <w:tcW w:w="5180" w:type="dxa"/>
            <w:vAlign w:val="bottom"/>
            <w:gridSpan w:val="2"/>
          </w:tcPr>
          <w:p>
            <w:pPr>
              <w:ind w:left="40"/>
              <w:spacing w:after="0" w:line="216" w:lineRule="exact"/>
              <w:rPr>
                <w:sz w:val="20"/>
                <w:szCs w:val="20"/>
                <w:color w:val="auto"/>
              </w:rPr>
            </w:pPr>
            <w:r>
              <w:rPr>
                <w:rFonts w:ascii="Arial" w:cs="Arial" w:eastAsia="Arial" w:hAnsi="Arial"/>
                <w:sz w:val="18"/>
                <w:szCs w:val="18"/>
                <w:color w:val="auto"/>
              </w:rPr>
              <w:t>in film classified as a financial instrument</w:t>
            </w:r>
            <w:r>
              <w:rPr>
                <w:rFonts w:ascii="Arial" w:cs="Arial" w:eastAsia="Arial" w:hAnsi="Arial"/>
                <w:sz w:val="24"/>
                <w:szCs w:val="24"/>
                <w:color w:val="auto"/>
                <w:vertAlign w:val="superscript"/>
              </w:rPr>
              <w:t>(6)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1289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1289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1289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289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71"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 value is determined using quoted prices in active markets.</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 value is estimated based on discounting future cash flows at currently available interest rates with comparable terms.</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Measured at cash surrender value, which approximates fair value.</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Fair value is determined using quoted market prices that are observable in the market or that could be derived from observable market data.</w:t>
      </w:r>
    </w:p>
    <w:p>
      <w:pPr>
        <w:spacing w:after="0" w:line="196" w:lineRule="exact"/>
        <w:rPr>
          <w:rFonts w:ascii="Arial" w:cs="Arial" w:eastAsia="Arial" w:hAnsi="Arial"/>
          <w:sz w:val="17"/>
          <w:szCs w:val="17"/>
          <w:color w:val="auto"/>
        </w:rPr>
      </w:pPr>
    </w:p>
    <w:p>
      <w:pPr>
        <w:ind w:left="380" w:hanging="372"/>
        <w:spacing w:after="0" w:line="324"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Recorded at amortized cost less impairment losses. Inputs used in the calculation of estimated fair value include management's projection of future box office and ancillary receipts for the film net of distribution costs and other costs in accordance with the investment agreement. See 16(e)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Foreign Exchange Risk Management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is exposed to market risk from changes in foreign currency rates.</w:t>
      </w:r>
    </w:p>
    <w:p>
      <w:pPr>
        <w:spacing w:after="0" w:line="171" w:lineRule="exact"/>
        <w:rPr>
          <w:sz w:val="20"/>
          <w:szCs w:val="20"/>
          <w:color w:val="auto"/>
        </w:rPr>
      </w:pPr>
    </w:p>
    <w:p>
      <w:pPr>
        <w:jc w:val="both"/>
        <w:ind w:firstLine="224"/>
        <w:spacing w:after="0" w:line="274" w:lineRule="auto"/>
        <w:rPr>
          <w:sz w:val="20"/>
          <w:szCs w:val="20"/>
          <w:color w:val="auto"/>
        </w:rPr>
      </w:pPr>
      <w:r>
        <w:rPr>
          <w:rFonts w:ascii="Arial" w:cs="Arial" w:eastAsia="Arial" w:hAnsi="Arial"/>
          <w:sz w:val="16"/>
          <w:szCs w:val="16"/>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123"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at June 30, 2022 (the “Foreign Currency Hedges”), with settlement dates throughout 2022 and 2023.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Income and reclassified to the Condensed Consolidated Statements of Operations when the forecasted transaction occurs. Any ineffective portion is recognized immediately in the Condensed Consolidated Statements of Operations.</w:t>
      </w:r>
    </w:p>
    <w:p>
      <w:pPr>
        <w:spacing w:after="0" w:line="153"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Notional value of foreign exchange contracts</w:t>
      </w:r>
      <w:r>
        <w:rPr>
          <w:rFonts w:ascii="Arial" w:cs="Arial" w:eastAsia="Arial" w:hAnsi="Arial"/>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left="304"/>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Foreign exchange contracts — Forwards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4"/>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38"/>
              <w:spacing w:after="0" w:line="202" w:lineRule="exact"/>
              <w:rPr>
                <w:sz w:val="20"/>
                <w:szCs w:val="20"/>
                <w:color w:val="auto"/>
              </w:rPr>
            </w:pPr>
            <w:r>
              <w:rPr>
                <w:rFonts w:ascii="Arial" w:cs="Arial" w:eastAsia="Arial" w:hAnsi="Arial"/>
                <w:sz w:val="18"/>
                <w:szCs w:val="18"/>
                <w:color w:val="auto"/>
              </w:rPr>
              <w:t>22,004</w:t>
            </w: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7"/>
              </w:rPr>
              <w:t>26,702</w:t>
            </w:r>
          </w:p>
        </w:tc>
        <w:tc>
          <w:tcPr>
            <w:tcW w:w="0" w:type="dxa"/>
            <w:vAlign w:val="bottom"/>
          </w:tcPr>
          <w:p>
            <w:pPr>
              <w:spacing w:after="0"/>
              <w:rPr>
                <w:sz w:val="1"/>
                <w:szCs w:val="1"/>
                <w:color w:val="auto"/>
              </w:rPr>
            </w:pPr>
          </w:p>
        </w:tc>
      </w:tr>
      <w:tr>
        <w:trPr>
          <w:trHeight w:val="20"/>
        </w:trPr>
        <w:tc>
          <w:tcPr>
            <w:tcW w:w="4900" w:type="dxa"/>
            <w:vAlign w:val="bottom"/>
            <w:gridSpan w:val="4"/>
            <w:vMerge w:val="restart"/>
          </w:tcPr>
          <w:p>
            <w:pPr>
              <w:ind w:left="240"/>
              <w:spacing w:after="0"/>
              <w:rPr>
                <w:sz w:val="20"/>
                <w:szCs w:val="20"/>
                <w:color w:val="auto"/>
              </w:rPr>
            </w:pPr>
            <w:r>
              <w:rPr>
                <w:rFonts w:ascii="Arial" w:cs="Arial" w:eastAsia="Arial" w:hAnsi="Arial"/>
                <w:sz w:val="18"/>
                <w:szCs w:val="18"/>
                <w:color w:val="auto"/>
              </w:rPr>
              <w:t>Fair value of derivatives in foreign exchange contracts:</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1"/>
        </w:trPr>
        <w:tc>
          <w:tcPr>
            <w:tcW w:w="2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2022</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Foreign exchange contracts — Forwards</w:t>
            </w:r>
          </w:p>
        </w:tc>
        <w:tc>
          <w:tcPr>
            <w:tcW w:w="900" w:type="dxa"/>
            <w:vAlign w:val="bottom"/>
            <w:gridSpan w:val="4"/>
          </w:tcPr>
          <w:p>
            <w:pPr>
              <w:spacing w:after="0" w:line="202" w:lineRule="exact"/>
              <w:rPr>
                <w:sz w:val="20"/>
                <w:szCs w:val="20"/>
                <w:color w:val="auto"/>
              </w:rPr>
            </w:pPr>
            <w:r>
              <w:rPr>
                <w:rFonts w:ascii="Arial" w:cs="Arial" w:eastAsia="Arial" w:hAnsi="Arial"/>
                <w:sz w:val="18"/>
                <w:szCs w:val="18"/>
                <w:color w:val="auto"/>
                <w:w w:val="86"/>
              </w:rPr>
              <w:t>Other assets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4"/>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45</w:t>
            </w: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240" w:type="dxa"/>
            <w:vAlign w:val="bottom"/>
            <w:shd w:val="clear" w:color="auto" w:fill="CFF0FC"/>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60" w:type="dxa"/>
            <w:vAlign w:val="bottom"/>
            <w:gridSpan w:val="7"/>
            <w:shd w:val="clear" w:color="auto" w:fill="CFF0FC"/>
          </w:tcPr>
          <w:p>
            <w:pPr>
              <w:spacing w:after="0" w:line="202" w:lineRule="exact"/>
              <w:rPr>
                <w:sz w:val="20"/>
                <w:szCs w:val="20"/>
                <w:color w:val="auto"/>
              </w:rPr>
            </w:pPr>
            <w:r>
              <w:rPr>
                <w:rFonts w:ascii="Arial" w:cs="Arial" w:eastAsia="Arial" w:hAnsi="Arial"/>
                <w:sz w:val="18"/>
                <w:szCs w:val="18"/>
                <w:color w:val="auto"/>
              </w:rPr>
              <w:t>Accrued and other liabilities</w:t>
            </w: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(167 )</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(122 )</w:t>
            </w:r>
          </w:p>
        </w:tc>
        <w:tc>
          <w:tcPr>
            <w:tcW w:w="20" w:type="dxa"/>
            <w:vAlign w:val="bottom"/>
            <w:tcBorders>
              <w:bottom w:val="single" w:sz="8" w:color="auto"/>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800" w:type="dxa"/>
            <w:vAlign w:val="bottom"/>
            <w:gridSpan w:val="8"/>
            <w:vMerge w:val="restart"/>
          </w:tcPr>
          <w:p>
            <w:pPr>
              <w:ind w:left="240"/>
              <w:spacing w:after="0"/>
              <w:rPr>
                <w:sz w:val="20"/>
                <w:szCs w:val="20"/>
                <w:color w:val="auto"/>
              </w:rPr>
            </w:pPr>
            <w:r>
              <w:rPr>
                <w:rFonts w:ascii="Arial" w:cs="Arial" w:eastAsia="Arial" w:hAnsi="Arial"/>
                <w:sz w:val="18"/>
                <w:szCs w:val="18"/>
                <w:color w:val="auto"/>
              </w:rPr>
              <w:t>Derivatives in foreign currency hedging relationships are as follows:</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0" w:type="dxa"/>
            <w:vAlign w:val="bottom"/>
            <w:gridSpan w:val="8"/>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9"/>
              </w:rPr>
              <w:t>Six Months Ended June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exchange contracts</w:t>
            </w:r>
          </w:p>
        </w:tc>
        <w:tc>
          <w:tcPr>
            <w:tcW w:w="23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 (Loss) Gain</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Forwards</w:t>
            </w:r>
          </w:p>
        </w:tc>
        <w:tc>
          <w:tcPr>
            <w:tcW w:w="2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Recognized in OCI</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(Effective Portion)</w:t>
            </w:r>
          </w:p>
        </w:tc>
        <w:tc>
          <w:tcPr>
            <w:tcW w:w="900" w:type="dxa"/>
            <w:vAlign w:val="bottom"/>
            <w:gridSpan w:val="4"/>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(610 )</w:t>
            </w:r>
          </w:p>
        </w:tc>
        <w:tc>
          <w:tcPr>
            <w:tcW w:w="500" w:type="dxa"/>
            <w:vAlign w:val="bottom"/>
            <w:gridSpan w:val="2"/>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spacing w:after="0" w:line="182" w:lineRule="exact"/>
              <w:rPr>
                <w:sz w:val="20"/>
                <w:szCs w:val="20"/>
                <w:color w:val="auto"/>
              </w:rPr>
            </w:pPr>
            <w:r>
              <w:rPr>
                <w:rFonts w:ascii="Arial" w:cs="Arial" w:eastAsia="Arial" w:hAnsi="Arial"/>
                <w:sz w:val="18"/>
                <w:szCs w:val="18"/>
                <w:color w:val="auto"/>
              </w:rPr>
              <w:t>305</w:t>
            </w:r>
          </w:p>
        </w:tc>
        <w:tc>
          <w:tcPr>
            <w:tcW w:w="640" w:type="dxa"/>
            <w:vAlign w:val="bottom"/>
            <w:gridSpan w:val="3"/>
            <w:shd w:val="clear" w:color="auto" w:fill="CFF0FC"/>
          </w:tcPr>
          <w:p>
            <w:pPr>
              <w:jc w:val="center"/>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5"/>
            <w:shd w:val="clear" w:color="auto" w:fill="CFF0FC"/>
          </w:tcPr>
          <w:p>
            <w:pPr>
              <w:jc w:val="right"/>
              <w:spacing w:after="0" w:line="182" w:lineRule="exact"/>
              <w:rPr>
                <w:sz w:val="20"/>
                <w:szCs w:val="20"/>
                <w:color w:val="auto"/>
              </w:rPr>
            </w:pPr>
            <w:r>
              <w:rPr>
                <w:rFonts w:ascii="Arial" w:cs="Arial" w:eastAsia="Arial" w:hAnsi="Arial"/>
                <w:sz w:val="18"/>
                <w:szCs w:val="18"/>
                <w:color w:val="auto"/>
              </w:rPr>
              <w:t>(295 )</w:t>
            </w:r>
          </w:p>
        </w:tc>
        <w:tc>
          <w:tcPr>
            <w:tcW w:w="960" w:type="dxa"/>
            <w:vAlign w:val="bottom"/>
            <w:gridSpan w:val="2"/>
            <w:shd w:val="clear" w:color="auto" w:fill="CFF0FC"/>
          </w:tcPr>
          <w:p>
            <w:pPr>
              <w:jc w:val="right"/>
              <w:ind w:right="622"/>
              <w:spacing w:after="0" w:line="18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387"/>
        </w:trPr>
        <w:tc>
          <w:tcPr>
            <w:tcW w:w="24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gridSpan w:val="2"/>
          </w:tcPr>
          <w:p>
            <w:pPr>
              <w:ind w:left="20"/>
              <w:spacing w:after="0"/>
              <w:rPr>
                <w:sz w:val="20"/>
                <w:szCs w:val="20"/>
                <w:color w:val="auto"/>
              </w:rPr>
            </w:pPr>
            <w:r>
              <w:rPr>
                <w:rFonts w:ascii="Arial" w:cs="Arial" w:eastAsia="Arial" w:hAnsi="Arial"/>
                <w:sz w:val="14"/>
                <w:szCs w:val="14"/>
                <w:b w:val="1"/>
                <w:bCs w:val="1"/>
                <w:color w:val="auto"/>
              </w:rPr>
              <w:t>Location of Derivative (Loss) Gain</w:t>
            </w: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Reclassified from AOCI</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9"/>
              </w:rPr>
              <w:t>Six Months Ended 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Portion)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exchange contracts</w:t>
            </w:r>
          </w:p>
        </w:tc>
        <w:tc>
          <w:tcPr>
            <w:tcW w:w="234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general and</w:t>
            </w:r>
          </w:p>
        </w:tc>
        <w:tc>
          <w:tcPr>
            <w:tcW w:w="2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 Forwards</w:t>
            </w:r>
          </w:p>
        </w:tc>
        <w:tc>
          <w:tcPr>
            <w:tcW w:w="234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administrative expenses</w:t>
            </w:r>
          </w:p>
        </w:tc>
        <w:tc>
          <w:tcPr>
            <w:tcW w:w="480" w:type="dxa"/>
            <w:vAlign w:val="bottom"/>
            <w:gridSpan w:val="3"/>
          </w:tcPr>
          <w:p>
            <w:pPr>
              <w:spacing w:after="0"/>
              <w:rPr>
                <w:sz w:val="17"/>
                <w:szCs w:val="17"/>
                <w:color w:val="auto"/>
              </w:rPr>
            </w:pP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(66 )</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4"/>
          </w:tcPr>
          <w:p>
            <w:pPr>
              <w:jc w:val="right"/>
              <w:spacing w:after="0" w:line="182" w:lineRule="exact"/>
              <w:rPr>
                <w:sz w:val="20"/>
                <w:szCs w:val="20"/>
                <w:color w:val="auto"/>
              </w:rPr>
            </w:pPr>
            <w:r>
              <w:rPr>
                <w:rFonts w:ascii="Arial" w:cs="Arial" w:eastAsia="Arial" w:hAnsi="Arial"/>
                <w:sz w:val="18"/>
                <w:szCs w:val="18"/>
                <w:color w:val="auto"/>
              </w:rPr>
              <w:t>824</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jc w:val="center"/>
              <w:ind w:right="1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5"/>
          </w:tcPr>
          <w:p>
            <w:pPr>
              <w:jc w:val="right"/>
              <w:spacing w:after="0" w:line="182" w:lineRule="exact"/>
              <w:rPr>
                <w:sz w:val="20"/>
                <w:szCs w:val="20"/>
                <w:color w:val="auto"/>
              </w:rPr>
            </w:pPr>
            <w:r>
              <w:rPr>
                <w:rFonts w:ascii="Arial" w:cs="Arial" w:eastAsia="Arial" w:hAnsi="Arial"/>
                <w:sz w:val="18"/>
                <w:szCs w:val="18"/>
                <w:color w:val="auto"/>
              </w:rPr>
              <w:t>(95 )</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622"/>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4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-1294130</wp:posOffset>
            </wp:positionV>
            <wp:extent cx="11112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-1276350</wp:posOffset>
            </wp:positionV>
            <wp:extent cx="1111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-1294130</wp:posOffset>
            </wp:positionV>
            <wp:extent cx="1028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-1276350</wp:posOffset>
            </wp:positionV>
            <wp:extent cx="10287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-1294130</wp:posOffset>
            </wp:positionV>
            <wp:extent cx="10287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-1276350</wp:posOffset>
            </wp:positionV>
            <wp:extent cx="1028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5" w:name="page46"/>
    <w:bookmarkEnd w:id="45"/>
    <w:p>
      <w:pPr>
        <w:ind w:left="240"/>
        <w:spacing w:after="0"/>
        <w:rPr>
          <w:sz w:val="20"/>
          <w:szCs w:val="20"/>
          <w:color w:val="auto"/>
        </w:rPr>
      </w:pPr>
      <w:r>
        <w:rPr>
          <w:rFonts w:ascii="Arial" w:cs="Arial" w:eastAsia="Arial" w:hAnsi="Arial"/>
          <w:sz w:val="18"/>
          <w:szCs w:val="18"/>
          <w:u w:val="single" w:color="auto"/>
          <w:color w:val="auto"/>
        </w:rPr>
        <w:t>Non-designated derivatives in foreign currency relationships are as follows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6"/>
              </w:rPr>
              <w:t>Three Months Ended June 30,</w:t>
            </w:r>
          </w:p>
        </w:tc>
        <w:tc>
          <w:tcPr>
            <w:tcW w:w="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83"/>
        </w:trPr>
        <w:tc>
          <w:tcPr>
            <w:tcW w:w="25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 of Derivative Gain</w:t>
            </w:r>
          </w:p>
        </w:tc>
        <w:tc>
          <w:tcPr>
            <w:tcW w:w="880" w:type="dxa"/>
            <w:vAlign w:val="bottom"/>
          </w:tcPr>
          <w:p>
            <w:pPr>
              <w:ind w:left="46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2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exchange contracts</w:t>
            </w:r>
          </w:p>
        </w:tc>
        <w:tc>
          <w:tcPr>
            <w:tcW w:w="26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580" w:type="dxa"/>
            <w:vAlign w:val="bottom"/>
          </w:tcPr>
          <w:p>
            <w:pPr>
              <w:ind w:left="120"/>
              <w:spacing w:after="0" w:line="182" w:lineRule="exact"/>
              <w:rPr>
                <w:sz w:val="20"/>
                <w:szCs w:val="20"/>
                <w:color w:val="auto"/>
              </w:rPr>
            </w:pPr>
            <w:r>
              <w:rPr>
                <w:rFonts w:ascii="Arial" w:cs="Arial" w:eastAsia="Arial" w:hAnsi="Arial"/>
                <w:sz w:val="18"/>
                <w:szCs w:val="18"/>
                <w:color w:val="auto"/>
              </w:rPr>
              <w:t>— Forwards</w:t>
            </w:r>
          </w:p>
        </w:tc>
        <w:tc>
          <w:tcPr>
            <w:tcW w:w="286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administrative expenses</w:t>
            </w:r>
          </w:p>
        </w:tc>
        <w:tc>
          <w:tcPr>
            <w:tcW w:w="880" w:type="dxa"/>
            <w:vAlign w:val="bottom"/>
          </w:tcPr>
          <w:p>
            <w:pPr>
              <w:jc w:val="right"/>
              <w:ind w:right="702"/>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line="182" w:lineRule="exact"/>
              <w:rPr>
                <w:sz w:val="20"/>
                <w:szCs w:val="20"/>
                <w:color w:val="auto"/>
              </w:rPr>
            </w:pPr>
            <w:r>
              <w:rPr>
                <w:rFonts w:ascii="Arial" w:cs="Arial" w:eastAsia="Arial" w:hAnsi="Arial"/>
                <w:sz w:val="18"/>
                <w:szCs w:val="18"/>
                <w:color w:val="auto"/>
                <w:w w:val="88"/>
              </w:rPr>
              <w:t>—</w:t>
            </w:r>
          </w:p>
        </w:tc>
        <w:tc>
          <w:tcPr>
            <w:tcW w:w="1180" w:type="dxa"/>
            <w:vAlign w:val="bottom"/>
            <w:gridSpan w:val="2"/>
          </w:tcPr>
          <w:p>
            <w:pPr>
              <w:jc w:val="right"/>
              <w:ind w:right="760"/>
              <w:spacing w:after="0" w:line="18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369</w:t>
            </w:r>
          </w:p>
        </w:tc>
        <w:tc>
          <w:tcPr>
            <w:tcW w:w="5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391</w:t>
            </w:r>
          </w:p>
        </w:tc>
        <w:tc>
          <w:tcPr>
            <w:tcW w:w="100" w:type="dxa"/>
            <w:vAlign w:val="bottom"/>
          </w:tcPr>
          <w:p>
            <w:pPr>
              <w:spacing w:after="0"/>
              <w:rPr>
                <w:sz w:val="17"/>
                <w:szCs w:val="17"/>
                <w:color w:val="auto"/>
              </w:rPr>
            </w:pPr>
          </w:p>
        </w:tc>
      </w:tr>
      <w:tr>
        <w:trPr>
          <w:trHeight w:val="20"/>
        </w:trPr>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The Company's estimated net amount of the existing loss as of June 30, 2022 is $(0.1) million, which is expected to be reclassified to earnings within the next twelve months.</w:t>
      </w:r>
    </w:p>
    <w:p>
      <w:pPr>
        <w:spacing w:after="0" w:line="144"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Investments in Equity Securities</w:t>
      </w:r>
    </w:p>
    <w:p>
      <w:pPr>
        <w:spacing w:after="0" w:line="171"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As of June 30, 2022, the Condensed Consolidated Balance Sheets includes $1.1 million (December 31, 2021 — $1.1 million) of investments in equity securities.</w:t>
      </w:r>
    </w:p>
    <w:p>
      <w:pPr>
        <w:spacing w:after="0" w:line="130" w:lineRule="exact"/>
        <w:rPr>
          <w:sz w:val="20"/>
          <w:szCs w:val="20"/>
          <w:color w:val="auto"/>
        </w:rPr>
      </w:pPr>
    </w:p>
    <w:p>
      <w:pPr>
        <w:jc w:val="both"/>
        <w:ind w:firstLine="224"/>
        <w:spacing w:after="0" w:line="238" w:lineRule="auto"/>
        <w:rPr>
          <w:sz w:val="20"/>
          <w:szCs w:val="20"/>
          <w:color w:val="auto"/>
        </w:rPr>
      </w:pPr>
      <w:r>
        <w:rPr>
          <w:rFonts w:ascii="Arial" w:cs="Arial" w:eastAsia="Arial" w:hAnsi="Arial"/>
          <w:sz w:val="18"/>
          <w:szCs w:val="18"/>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During the first quarter of 2021, IMAX China (Hong Kong), Limited sold all of its 7,949,000 shares of Maoyan for gross proceeds of $17.8 million and recognized $5.2 million gain in the Condensed Consolidated Statements of Operations.</w:t>
      </w:r>
    </w:p>
    <w:p>
      <w:pPr>
        <w:spacing w:after="0" w:line="167"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The Company has an investment of $1.1 million (December 31, 2021 — $1.1 million) in the shares of an exchange traded fund. This investment is classified as an equity investment.</w:t>
      </w:r>
    </w:p>
    <w:p>
      <w:pPr>
        <w:spacing w:after="0" w:line="130"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As of June 30, 2022, the Company held investments in the preferred shares of enterprises which meet the criteria for classification as an equity security carried at historical cost, net of impairment charges. The carrying value of these equity security investments was $1.0 million at June 30, 2022 (December 31, 2021 — $1.0 million) and is recorded in Other Assets.</w:t>
      </w:r>
    </w:p>
    <w:p>
      <w:pPr>
        <w:spacing w:after="0" w:line="14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6"/>
          <w:szCs w:val="16"/>
          <w:b w:val="1"/>
          <w:bCs w:val="1"/>
          <w:i w:val="1"/>
          <w:iCs w:val="1"/>
          <w:color w:val="auto"/>
        </w:rPr>
        <w:t>Interest in Film</w:t>
      </w:r>
    </w:p>
    <w:p>
      <w:pPr>
        <w:spacing w:after="0" w:line="185" w:lineRule="exact"/>
        <w:rPr>
          <w:sz w:val="20"/>
          <w:szCs w:val="20"/>
          <w:color w:val="auto"/>
        </w:rPr>
      </w:pPr>
    </w:p>
    <w:p>
      <w:pPr>
        <w:jc w:val="both"/>
        <w:ind w:firstLine="224"/>
        <w:spacing w:after="0" w:line="276" w:lineRule="auto"/>
        <w:rPr>
          <w:sz w:val="20"/>
          <w:szCs w:val="20"/>
          <w:color w:val="auto"/>
        </w:rPr>
      </w:pPr>
      <w:r>
        <w:rPr>
          <w:rFonts w:ascii="Arial" w:cs="Arial" w:eastAsia="Arial" w:hAnsi="Arial"/>
          <w:sz w:val="16"/>
          <w:szCs w:val="16"/>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Arial" w:cs="Arial" w:eastAsia="Arial" w:hAnsi="Arial"/>
          <w:sz w:val="16"/>
          <w:szCs w:val="16"/>
          <w:i w:val="1"/>
          <w:iCs w:val="1"/>
          <w:color w:val="auto"/>
        </w:rPr>
        <w:t>Mozart from Space</w:t>
      </w:r>
      <w:r>
        <w:rPr>
          <w:rFonts w:ascii="Arial" w:cs="Arial" w:eastAsia="Arial" w:hAnsi="Arial"/>
          <w:sz w:val="16"/>
          <w:szCs w:val="16"/>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spacing w:after="0" w:line="121"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 xml:space="preserve">During the three and six months ended June 30, 2022, the Company recognized a full impairment of its RMB 30.0 million ($4.5 million) investment in </w:t>
      </w:r>
      <w:r>
        <w:rPr>
          <w:rFonts w:ascii="Arial" w:cs="Arial" w:eastAsia="Arial" w:hAnsi="Arial"/>
          <w:sz w:val="18"/>
          <w:szCs w:val="18"/>
          <w:i w:val="1"/>
          <w:iCs w:val="1"/>
          <w:color w:val="auto"/>
        </w:rPr>
        <w:t xml:space="preserve">Mozart from Space </w:t>
      </w:r>
      <w:r>
        <w:rPr>
          <w:rFonts w:ascii="Arial" w:cs="Arial" w:eastAsia="Arial" w:hAnsi="Arial"/>
          <w:sz w:val="18"/>
          <w:szCs w:val="18"/>
          <w:color w:val="auto"/>
        </w:rPr>
        <w:t>based on projected box office results and distribution costs.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71"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The Company indirectly owns 71.41% of IMAX China, whose shares trade on the Hong Kong Stock Exchange (December 31, 2021 — 71.11%). IMAX China remains a consolidated subsidiary of the Company. As of June 30, 2022, the balance of the Company’s non-controlling interest in IMAX China is $66.6 million (December 31, 2021 — $73.5 million). For the three and six months ended June 30, 2022, the net (loss) income attributable to the non-controlling interest in IMAX China is $(1.4) million and $0.3 million, respectively (2021 — $3.1 million and $7.4 million, respectively).</w:t>
      </w:r>
    </w:p>
    <w:p>
      <w:pPr>
        <w:spacing w:after="0" w:line="132"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Other Non-Controlling Interest</w:t>
      </w:r>
    </w:p>
    <w:p>
      <w:pPr>
        <w:spacing w:after="0" w:line="185"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June 30, 2022,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49"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Non-Controlling Interest in Temporary Equity</w:t>
      </w:r>
    </w:p>
    <w:p>
      <w:pPr>
        <w:spacing w:after="0" w:line="171"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The following table summarizes the movement of the non-controlling interest in temporary equity related to the Original Film Fund for the six months ended June 30,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8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758</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759</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(16 )</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36"/>
        </w:trPr>
        <w:tc>
          <w:tcPr>
            <w:tcW w:w="8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742</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and six months ended June 30, 2022 and 2021. MD&amp;A should be read in conjunction with Note 14, "Segment Reporting," in the accompanying Condensed Consolidated Financial Statements in Item 1.</w:t>
      </w:r>
    </w:p>
    <w:p>
      <w:pPr>
        <w:spacing w:after="0" w:line="123"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As of June 30, 2022, the Company indirectly owns 71.41% of IMAX China Holding, Inc. (“IMAX China”), whose shares trade on the Hong Kong Stock Exchange. IMAX China is a consolidated subsidiary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89"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6"/>
          <w:szCs w:val="16"/>
          <w:color w:val="auto"/>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such as the conflict between Russia and Ukraine; risks related to the Company’s growth and operations in China; the performance of IMAX DMR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films; the signing of theater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including with respect to the Russia-Ukraine conflict; the failure to convert theater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(the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351"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17"/>
          <w:szCs w:val="17"/>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www.sedar.com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IMAX</w:t>
      </w:r>
      <w:r>
        <w:rPr>
          <w:rFonts w:ascii="Arial" w:cs="Arial" w:eastAsia="Arial" w:hAnsi="Arial"/>
          <w:sz w:val="24"/>
          <w:szCs w:val="24"/>
          <w:color w:val="auto"/>
          <w:vertAlign w:val="superscript"/>
        </w:rPr>
        <w:t>®</w:t>
      </w:r>
      <w:r>
        <w:rPr>
          <w:rFonts w:ascii="Arial" w:cs="Arial" w:eastAsia="Arial" w:hAnsi="Arial"/>
          <w:sz w:val="18"/>
          <w:szCs w:val="18"/>
          <w:color w:val="auto"/>
        </w:rPr>
        <w:t>,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Dome,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3D,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3D Dome, Experience It In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Experience</w:t>
      </w:r>
      <w:r>
        <w:rPr>
          <w:rFonts w:ascii="Arial" w:cs="Arial" w:eastAsia="Arial" w:hAnsi="Arial"/>
          <w:sz w:val="24"/>
          <w:szCs w:val="24"/>
          <w:color w:val="auto"/>
          <w:vertAlign w:val="superscript"/>
        </w:rPr>
        <w:t>®</w:t>
      </w:r>
      <w:r>
        <w:rPr>
          <w:rFonts w:ascii="Arial" w:cs="Arial" w:eastAsia="Arial" w:hAnsi="Arial"/>
          <w:sz w:val="18"/>
          <w:szCs w:val="18"/>
          <w:color w:val="auto"/>
        </w:rPr>
        <w:t>, IMAX DMR</w:t>
      </w:r>
      <w:r>
        <w:rPr>
          <w:rFonts w:ascii="Arial" w:cs="Arial" w:eastAsia="Arial" w:hAnsi="Arial"/>
          <w:sz w:val="24"/>
          <w:szCs w:val="24"/>
          <w:color w:val="auto"/>
          <w:vertAlign w:val="superscript"/>
        </w:rPr>
        <w:t>®</w:t>
      </w:r>
      <w:r>
        <w:rPr>
          <w:rFonts w:ascii="Arial" w:cs="Arial" w:eastAsia="Arial" w:hAnsi="Arial"/>
          <w:sz w:val="18"/>
          <w:szCs w:val="18"/>
          <w:color w:val="auto"/>
        </w:rPr>
        <w:t>, DMR</w:t>
      </w:r>
      <w:r>
        <w:rPr>
          <w:rFonts w:ascii="Arial" w:cs="Arial" w:eastAsia="Arial" w:hAnsi="Arial"/>
          <w:sz w:val="24"/>
          <w:szCs w:val="24"/>
          <w:color w:val="auto"/>
          <w:vertAlign w:val="superscript"/>
        </w:rPr>
        <w:t>®</w:t>
      </w:r>
      <w:r>
        <w:rPr>
          <w:rFonts w:ascii="Arial" w:cs="Arial" w:eastAsia="Arial" w:hAnsi="Arial"/>
          <w:sz w:val="18"/>
          <w:szCs w:val="18"/>
          <w:color w:val="auto"/>
        </w:rPr>
        <w:t>, Filmed For IMAX</w:t>
      </w:r>
      <w:r>
        <w:rPr>
          <w:rFonts w:ascii="Arial" w:cs="Arial" w:eastAsia="Arial" w:hAnsi="Arial"/>
          <w:sz w:val="24"/>
          <w:szCs w:val="24"/>
          <w:b w:val="1"/>
          <w:bCs w:val="1"/>
          <w:color w:val="auto"/>
          <w:vertAlign w:val="superscript"/>
        </w:rPr>
        <w:t>TM</w:t>
      </w:r>
      <w:r>
        <w:rPr>
          <w:rFonts w:ascii="Arial" w:cs="Arial" w:eastAsia="Arial" w:hAnsi="Arial"/>
          <w:sz w:val="18"/>
          <w:szCs w:val="18"/>
          <w:color w:val="auto"/>
        </w:rPr>
        <w:t>, IMAX Live</w:t>
      </w:r>
      <w:r>
        <w:rPr>
          <w:rFonts w:ascii="Arial" w:cs="Arial" w:eastAsia="Arial" w:hAnsi="Arial"/>
          <w:sz w:val="24"/>
          <w:szCs w:val="24"/>
          <w:b w:val="1"/>
          <w:bCs w:val="1"/>
          <w:color w:val="auto"/>
          <w:vertAlign w:val="superscript"/>
        </w:rPr>
        <w:t>TM</w:t>
      </w:r>
      <w:r>
        <w:rPr>
          <w:rFonts w:ascii="Arial" w:cs="Arial" w:eastAsia="Arial" w:hAnsi="Arial"/>
          <w:sz w:val="18"/>
          <w:szCs w:val="18"/>
          <w:color w:val="auto"/>
        </w:rPr>
        <w:t>, IMAX Enhanced</w:t>
      </w:r>
      <w:r>
        <w:rPr>
          <w:rFonts w:ascii="Arial" w:cs="Arial" w:eastAsia="Arial" w:hAnsi="Arial"/>
          <w:sz w:val="24"/>
          <w:szCs w:val="24"/>
          <w:color w:val="auto"/>
          <w:vertAlign w:val="superscript"/>
        </w:rPr>
        <w:t>TM</w:t>
      </w:r>
      <w:r>
        <w:rPr>
          <w:rFonts w:ascii="Arial" w:cs="Arial" w:eastAsia="Arial" w:hAnsi="Arial"/>
          <w:sz w:val="18"/>
          <w:szCs w:val="18"/>
          <w:color w:val="auto"/>
        </w:rPr>
        <w:t>, IMAX nXos</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Films to the Fullest</w:t>
      </w:r>
      <w:r>
        <w:rPr>
          <w:rFonts w:ascii="Arial" w:cs="Arial" w:eastAsia="Arial" w:hAnsi="Arial"/>
          <w:sz w:val="24"/>
          <w:szCs w:val="24"/>
          <w:color w:val="auto"/>
          <w:vertAlign w:val="superscript"/>
        </w:rPr>
        <w:t>®</w:t>
      </w:r>
      <w:r>
        <w:rPr>
          <w:rFonts w:ascii="Arial" w:cs="Arial" w:eastAsia="Arial" w:hAnsi="Arial"/>
          <w:sz w:val="18"/>
          <w:szCs w:val="18"/>
          <w:color w:val="auto"/>
        </w:rPr>
        <w:t>, are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 names of the Company or its subsidiaries that are registered or otherwise protected under laws of various jurisdictions.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8" w:name="page49"/>
    <w:bookmarkEnd w:id="48"/>
    <w:p>
      <w:pPr>
        <w:jc w:val="both"/>
        <w:ind w:firstLine="223"/>
        <w:spacing w:after="0" w:line="248" w:lineRule="auto"/>
        <w:rPr>
          <w:sz w:val="20"/>
          <w:szCs w:val="20"/>
          <w:color w:val="auto"/>
        </w:rPr>
      </w:pPr>
      <w:r>
        <w:rPr>
          <w:rFonts w:ascii="Arial" w:cs="Arial" w:eastAsia="Arial" w:hAnsi="Arial"/>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and SEDAR filings and public conference calls and webcasts.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6"/>
          <w:szCs w:val="16"/>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30" w:lineRule="exact"/>
        <w:rPr>
          <w:sz w:val="20"/>
          <w:szCs w:val="20"/>
          <w:color w:val="auto"/>
        </w:rPr>
      </w:pPr>
    </w:p>
    <w:p>
      <w:pPr>
        <w:jc w:val="both"/>
        <w:ind w:firstLine="224"/>
        <w:spacing w:after="0" w:line="335" w:lineRule="auto"/>
        <w:rPr>
          <w:sz w:val="20"/>
          <w:szCs w:val="20"/>
          <w:color w:val="auto"/>
        </w:rPr>
      </w:pPr>
      <w:r>
        <w:rPr>
          <w:rFonts w:ascii="Arial" w:cs="Arial" w:eastAsia="Arial" w:hAnsi="Arial"/>
          <w:sz w:val="16"/>
          <w:szCs w:val="16"/>
          <w:color w:val="auto"/>
        </w:rPr>
        <w:t>The Company leverages its proprietary technology and engineering in all aspects of its business, which principally consists of the digital remastering of films and other content into the IMAX format (“IMAX DMR”</w:t>
      </w:r>
      <w:r>
        <w:rPr>
          <w:rFonts w:ascii="Arial" w:cs="Arial" w:eastAsia="Arial" w:hAnsi="Arial"/>
          <w:sz w:val="21"/>
          <w:szCs w:val="21"/>
          <w:color w:val="auto"/>
          <w:vertAlign w:val="superscript"/>
        </w:rPr>
        <w:t>®</w:t>
      </w:r>
      <w:r>
        <w:rPr>
          <w:rFonts w:ascii="Arial" w:cs="Arial" w:eastAsia="Arial" w:hAnsi="Arial"/>
          <w:sz w:val="16"/>
          <w:szCs w:val="16"/>
          <w:color w:val="auto"/>
        </w:rPr>
        <w:t>) and the sale or lease of premium IMAX theater systems (“IMAX Theater Systems”).</w:t>
      </w:r>
    </w:p>
    <w:p>
      <w:pPr>
        <w:spacing w:after="0" w:line="14" w:lineRule="exact"/>
        <w:rPr>
          <w:sz w:val="20"/>
          <w:szCs w:val="20"/>
          <w:color w:val="auto"/>
        </w:rPr>
      </w:pPr>
    </w:p>
    <w:p>
      <w:pPr>
        <w:jc w:val="both"/>
        <w:ind w:firstLine="224"/>
        <w:spacing w:after="0" w:line="284" w:lineRule="auto"/>
        <w:rPr>
          <w:sz w:val="20"/>
          <w:szCs w:val="20"/>
          <w:color w:val="auto"/>
        </w:rPr>
      </w:pPr>
      <w:r>
        <w:rPr>
          <w:rFonts w:ascii="Arial" w:cs="Arial" w:eastAsia="Arial" w:hAnsi="Arial"/>
          <w:sz w:val="16"/>
          <w:szCs w:val="16"/>
          <w:color w:val="auto"/>
        </w:rPr>
        <w:t>IMAX Theater Systems are based on proprietary and patented image, audio, and other technology developed over the course of the Company’s history since its founding in 1968. The customers for IMAX Theater Systems are principally theater exhibitors that operate commercial multiplex theaters, and, to a much lesser extent, museums, science centers, and destination entertainment sites. The Company generally does not own the theaters in the IMAX network and is not an exhibitor, but instead sells or leases the IMAX Theater System to exhibitor customers along with a license to use its trademarks.</w:t>
      </w:r>
    </w:p>
    <w:p>
      <w:pPr>
        <w:spacing w:after="0" w:line="115" w:lineRule="exact"/>
        <w:rPr>
          <w:sz w:val="20"/>
          <w:szCs w:val="20"/>
          <w:color w:val="auto"/>
        </w:rPr>
      </w:pPr>
    </w:p>
    <w:p>
      <w:pPr>
        <w:jc w:val="both"/>
        <w:ind w:firstLine="224"/>
        <w:spacing w:after="0" w:line="284" w:lineRule="auto"/>
        <w:rPr>
          <w:sz w:val="20"/>
          <w:szCs w:val="20"/>
          <w:color w:val="auto"/>
        </w:rPr>
      </w:pPr>
      <w:r>
        <w:rPr>
          <w:rFonts w:ascii="Arial" w:cs="Arial" w:eastAsia="Arial" w:hAnsi="Arial"/>
          <w:sz w:val="16"/>
          <w:szCs w:val="16"/>
          <w:color w:val="auto"/>
        </w:rPr>
        <w:t>As of June 30, 2022, there were 1,694 IMAX Theater Systems in 87 countries and territories, including 1,610 commercial multiplexes, 12 commercial destinations, and 72 institutional locations in the Company's global theater network. This compares to 1,654 IMAX Theater Systems in 85 countries and territories as of June 30, 2021, including 1,569 commercial multiplexes, 12 commercial destinations, and 73 institutional locations in the Company's global theater network. (See the table below under “IMAX Network and Backlog” for additional information on the composition of the IMAX network.)</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5" w:lineRule="exact"/>
        <w:rPr>
          <w:sz w:val="20"/>
          <w:szCs w:val="20"/>
          <w:color w:val="auto"/>
        </w:rPr>
      </w:pPr>
    </w:p>
    <w:p>
      <w:pPr>
        <w:ind w:left="600" w:hanging="368"/>
        <w:spacing w:after="0" w:line="261"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 conversion process, which results in higher image and sound fidelity than conventional cinema experiences;</w:t>
      </w:r>
    </w:p>
    <w:p>
      <w:pPr>
        <w:spacing w:after="0" w:line="130" w:lineRule="exact"/>
        <w:rPr>
          <w:rFonts w:ascii="Arial" w:cs="Arial" w:eastAsia="Arial" w:hAnsi="Arial"/>
          <w:sz w:val="18"/>
          <w:szCs w:val="18"/>
          <w:color w:val="auto"/>
        </w:rPr>
      </w:pPr>
    </w:p>
    <w:p>
      <w:pPr>
        <w:ind w:left="600" w:right="20" w:hanging="368"/>
        <w:spacing w:after="0" w:line="261"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30" w:lineRule="exact"/>
        <w:rPr>
          <w:rFonts w:ascii="Arial" w:cs="Arial" w:eastAsia="Arial" w:hAnsi="Arial"/>
          <w:sz w:val="18"/>
          <w:szCs w:val="18"/>
          <w:color w:val="auto"/>
        </w:rPr>
      </w:pPr>
    </w:p>
    <w:p>
      <w:pPr>
        <w:ind w:left="600" w:right="20" w:hanging="368"/>
        <w:spacing w:after="0" w:line="261"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43" w:lineRule="exact"/>
        <w:rPr>
          <w:rFonts w:ascii="Arial" w:cs="Arial" w:eastAsia="Arial" w:hAnsi="Arial"/>
          <w:sz w:val="18"/>
          <w:szCs w:val="18"/>
          <w:color w:val="auto"/>
        </w:rPr>
      </w:pPr>
    </w:p>
    <w:p>
      <w:pPr>
        <w:ind w:left="600" w:hanging="368"/>
        <w:spacing w:after="0" w:line="261"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30" w:lineRule="exact"/>
        <w:rPr>
          <w:rFonts w:ascii="Arial" w:cs="Arial" w:eastAsia="Arial" w:hAnsi="Arial"/>
          <w:sz w:val="18"/>
          <w:szCs w:val="18"/>
          <w:color w:val="auto"/>
        </w:rPr>
      </w:pPr>
    </w:p>
    <w:p>
      <w:pPr>
        <w:ind w:left="600" w:hanging="3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171" w:lineRule="exact"/>
        <w:rPr>
          <w:rFonts w:ascii="Arial" w:cs="Arial" w:eastAsia="Arial" w:hAnsi="Arial"/>
          <w:sz w:val="18"/>
          <w:szCs w:val="18"/>
          <w:color w:val="auto"/>
        </w:rPr>
      </w:pPr>
    </w:p>
    <w:p>
      <w:pPr>
        <w:ind w:left="600" w:hanging="3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9" w:name="page50"/>
    <w:bookmarkEnd w:id="49"/>
    <w:p>
      <w:pPr>
        <w:jc w:val="both"/>
        <w:ind w:firstLine="224"/>
        <w:spacing w:after="0" w:line="243" w:lineRule="auto"/>
        <w:rPr>
          <w:sz w:val="20"/>
          <w:szCs w:val="20"/>
          <w:color w:val="auto"/>
        </w:rPr>
      </w:pPr>
      <w:r>
        <w:rPr>
          <w:rFonts w:ascii="Arial" w:cs="Arial" w:eastAsia="Arial" w:hAnsi="Arial"/>
          <w:sz w:val="18"/>
          <w:szCs w:val="18"/>
          <w:color w:val="auto"/>
        </w:rPr>
        <w:t>In addition, certain movies shown in IMAX theaters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theaters worldwide, movies filmed with IMAX cameras have an IMAX-exclusive 1.43 film aspect ratio, with up to 67% more image.</w:t>
      </w:r>
    </w:p>
    <w:p>
      <w:pPr>
        <w:spacing w:after="0" w:line="161"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130"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 xml:space="preserve">As a result of the engineering and scientific achievements that are a hallmark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the Company’s exhibitor customers typically charge a premium for IMAX films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has helped establish IMAX as a key premium distribution and marketing platform for Hollywood and foreign local language movie studios.</w:t>
      </w:r>
    </w:p>
    <w:p>
      <w:pPr>
        <w:spacing w:after="0" w:line="149"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As a premier global technology platform for entertainment and events, the Company strives to remain at the forefront of advancements in cinema technology. The Company offers a suite of IMAX Laser Theater Systems, which deliver increased resolution, sharper and brighter images, deeper contrast, and the widest range of colors available to filmmakers today. The Company further believes that its suite of IMAX Laser Theater Systems are helping facilitate the next major renewal and upgrade cycle for the global IMAX network.</w:t>
      </w:r>
    </w:p>
    <w:p>
      <w:pPr>
        <w:spacing w:after="0" w:line="166" w:lineRule="exact"/>
        <w:rPr>
          <w:sz w:val="20"/>
          <w:szCs w:val="20"/>
          <w:color w:val="auto"/>
        </w:rPr>
      </w:pPr>
    </w:p>
    <w:p>
      <w:pPr>
        <w:jc w:val="both"/>
        <w:ind w:firstLine="224"/>
        <w:spacing w:after="0" w:line="238" w:lineRule="auto"/>
        <w:rPr>
          <w:sz w:val="20"/>
          <w:szCs w:val="20"/>
          <w:color w:val="auto"/>
        </w:rPr>
      </w:pPr>
      <w:r>
        <w:rPr>
          <w:rFonts w:ascii="Arial" w:cs="Arial" w:eastAsia="Arial" w:hAnsi="Arial"/>
          <w:sz w:val="17"/>
          <w:szCs w:val="17"/>
          <w:color w:val="auto"/>
        </w:rPr>
        <w:t>In addition, the Company continues to evolve its platform to bring new, innovative IMAX Live</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events and experiences to audiences worldwide. The Company has a connected IMAX theater footprint capable of delivering live, interactive content with low latency and superior sight and sound. As of June 30, 2022, 80 theaters in the IMAX network across the United States, Canada, and Europe were configured to enable the streaming of live events with additional theaters expected to go-live throughout 2022, and the Company expects to double its connected footprint by year-end.</w:t>
      </w:r>
    </w:p>
    <w:p>
      <w:pPr>
        <w:spacing w:after="0" w:line="150"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7"/>
          <w:szCs w:val="17"/>
          <w:color w:val="auto"/>
        </w:rPr>
        <w:t>In March 2022, in response to the ongoing conflict between Russia and Ukraine and resulting sanctions, the Company suspended its operations in Russia and Belarus. As of June 30, 2022, the IMAX network includes 54 theaters in Russia, nine theaters in Ukraine, and one theater in Belarus, and the Company's backlog includes 14 theaters in Russia, one theater in Ukraine, and seven theaters in Belarus with a total fixed contracted value of $25.6 million.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Ukraine, and Belarus were placed on nonaccrual status for maintenance revenue and finance income beginning in the first quarter of 2022, which resulted in decreases of $0.8 million and $1.3 million in revenue during the three and six months ended June 30, 2022, respectively. Numerous multiplexes in Ukraine have reopened since the conflict began and the Company remains optimistic that its theatre network in Ukraine will ultimately resume operations. The Company continues to monitor the evolving impacts of this conflict and its effects on the global economy and the Company. (See Note 4 of Notes to Condensed Consolidated Financial Statements and “Risk Factors - The Company conducts business internationally, which exposes it to uncertainties and risks that could negatively affect its operations, sales, and future growth prospects." in Part II, Item 1A in this report.)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IMPACT OF COVID-19 PANDEMIC</w:t>
      </w:r>
    </w:p>
    <w:p>
      <w:pPr>
        <w:spacing w:after="0" w:line="189"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China in the first quarter of 2022, the Chinese government reinstituted capacity restrictions and safety protocols on large public gatherings, which has led to the temporary closure of theaters in several cities. As of June 30, 2022, approximately 90% of the IMAX theaters in Greater China were open at various capacities, up from 52% as of March 31, 2022.</w:t>
      </w:r>
    </w:p>
    <w:p>
      <w:pPr>
        <w:spacing w:after="0" w:line="140"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7"/>
          <w:szCs w:val="17"/>
          <w:color w:val="auto"/>
        </w:rPr>
        <w:t>For the six months ended June 30, 2022, gross box office ("GBO") generated by IMAX films totaled $420.9 million, surpassing the total for the same period in 2021 by $202.1 million (92%). Although GBO results during the first half of 2022 were impacted by the COVID-related theater closures in China, management remains encouraged by the overall positive trend in box office results and believes it indicates that moviegoers are returning to theaters, and in particular IMAX theaters, where and when theaters are open and they feel safe. Despite accounting for 1% of all domestic screens, the IMAX network had a domestic market share of 5.3% in the second quarter of 2022, and in May alone IMAX theaters captured approximately 7% of the total domestic box office. Management is further encouraged by the return of the prevalence of exclusive theatrical windows and the strong pipeline of Hollywood movies scheduled to be released for theatrical exhibition throughout the second half of 2022 and into 2023. However, 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new and the spread of existing variants of the virus, the progress made on administering vaccines and developing treatments and the effectiveness of such vaccines and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43"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in this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presentation of MD&amp;A, the Company has organized its reportable segments into the following three categories: (i) IMAX Technology Network;</w:t>
      </w:r>
    </w:p>
    <w:p>
      <w:pPr>
        <w:spacing w:after="0" w:line="35" w:lineRule="exact"/>
        <w:rPr>
          <w:sz w:val="20"/>
          <w:szCs w:val="20"/>
          <w:color w:val="auto"/>
        </w:rPr>
      </w:pPr>
    </w:p>
    <w:p>
      <w:pPr>
        <w:jc w:val="both"/>
        <w:ind w:firstLine="8"/>
        <w:spacing w:after="0" w:line="238"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IMAX Technology Sales and Maintenance; and (iii) Film Distribution and Post-Production. Within these three categories are the Company’s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IMAX Technology Network</w:t>
      </w:r>
    </w:p>
    <w:p>
      <w:pPr>
        <w:spacing w:after="0" w:line="189"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The IMAX Technology Network category earns revenue based on contingent box office receipts. Included in the IMAX Technology Network category are the IMAX DMR segment and contingent rent from the JRSA segment, which are each described in more detail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7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IMAX DMR is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The fee earned by the Company in a typical IMAX DMR arrangement averages approximately 12.5% of box office receipts (i.e., GBO less applicable sales taxes), except for within Greater China, where the Company receives a lower percentage of net box office receipts for certain Hollywood films.</w:t>
      </w:r>
    </w:p>
    <w:p>
      <w:pPr>
        <w:spacing w:after="0" w:line="162"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 xml:space="preserve">IMAX DMR digitally enhances the image resolution of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In addition, the original soundtrack of a film to be exhibited in IMAX theaters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49" w:lineRule="exact"/>
        <w:rPr>
          <w:sz w:val="20"/>
          <w:szCs w:val="20"/>
          <w:color w:val="auto"/>
        </w:rPr>
      </w:pPr>
    </w:p>
    <w:p>
      <w:pPr>
        <w:jc w:val="both"/>
        <w:ind w:firstLine="224"/>
        <w:spacing w:after="0" w:line="231" w:lineRule="auto"/>
        <w:rPr>
          <w:sz w:val="20"/>
          <w:szCs w:val="20"/>
          <w:color w:val="auto"/>
        </w:rPr>
      </w:pPr>
      <w:r>
        <w:rPr>
          <w:rFonts w:ascii="Arial" w:cs="Arial" w:eastAsia="Arial" w:hAnsi="Arial"/>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theaters worldwide, movies filmed with IMAX cameras have an IMAX-exclusive 1.43 film aspect ratio, with up to 67% more image. The Company has a Filmed For IMAX</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program whereby filmmakers craft films from inception for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including but not limited to the way films are shot, the lens used and the IMAX sound mix, and audiences respond recognizing this as the best way to view the films.</w:t>
      </w:r>
    </w:p>
    <w:p>
      <w:pPr>
        <w:spacing w:after="0" w:line="149"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Management believes that growth in international box office remains an important driver of growth for the Company. To support continued growth in international markets, the Company has sought to bolster its international film strategy, supplementing its slate of Hollywood films with appealing local language IMAX films released in select markets, particularly in China.</w:t>
      </w:r>
    </w:p>
    <w:p>
      <w:pPr>
        <w:spacing w:after="0" w:line="155"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The following table provides detailed information about the IMAX films that were newly released through the Company’s global theater network during the three and six months ended June 30,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ind w:left="96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00" w:type="dxa"/>
            <w:vAlign w:val="bottom"/>
            <w:gridSpan w:val="3"/>
          </w:tcPr>
          <w:p>
            <w:pPr>
              <w:ind w:left="6300"/>
              <w:spacing w:after="0"/>
              <w:rPr>
                <w:sz w:val="20"/>
                <w:szCs w:val="20"/>
                <w:color w:val="auto"/>
              </w:rPr>
            </w:pPr>
            <w:r>
              <w:rPr>
                <w:rFonts w:ascii="Arial" w:cs="Arial" w:eastAsia="Arial" w:hAnsi="Arial"/>
                <w:sz w:val="14"/>
                <w:szCs w:val="14"/>
                <w:b w:val="1"/>
                <w:bCs w:val="1"/>
                <w:color w:val="auto"/>
              </w:rPr>
              <w:t>2022</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IMAX Hollywood film releases</w:t>
            </w:r>
          </w:p>
        </w:tc>
        <w:tc>
          <w:tcPr>
            <w:tcW w:w="84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IMAX local language film releases: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China</w:t>
            </w:r>
          </w:p>
        </w:tc>
        <w:tc>
          <w:tcPr>
            <w:tcW w:w="1440" w:type="dxa"/>
            <w:vAlign w:val="bottom"/>
            <w:gridSpan w:val="3"/>
            <w:shd w:val="clear" w:color="auto" w:fill="CFF0FC"/>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Japan</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South Korea</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France</w:t>
            </w:r>
          </w:p>
        </w:tc>
        <w:tc>
          <w:tcPr>
            <w:tcW w:w="1440" w:type="dxa"/>
            <w:vAlign w:val="bottom"/>
            <w:gridSpan w:val="3"/>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India</w:t>
            </w:r>
          </w:p>
        </w:tc>
        <w:tc>
          <w:tcPr>
            <w:tcW w:w="8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700" w:type="dxa"/>
            <w:vAlign w:val="bottom"/>
            <w:gridSpan w:val="3"/>
          </w:tcPr>
          <w:p>
            <w:pPr>
              <w:ind w:left="200"/>
              <w:spacing w:after="0" w:line="160" w:lineRule="exact"/>
              <w:rPr>
                <w:sz w:val="20"/>
                <w:szCs w:val="20"/>
                <w:color w:val="auto"/>
              </w:rPr>
            </w:pPr>
            <w:r>
              <w:rPr>
                <w:rFonts w:ascii="Arial" w:cs="Arial" w:eastAsia="Arial" w:hAnsi="Arial"/>
                <w:sz w:val="18"/>
                <w:szCs w:val="18"/>
                <w:color w:val="auto"/>
              </w:rPr>
              <w:t>Total IMAX local language film releases</w:t>
            </w:r>
          </w:p>
        </w:tc>
        <w:tc>
          <w:tcPr>
            <w:tcW w:w="300" w:type="dxa"/>
            <w:vAlign w:val="bottom"/>
          </w:tcPr>
          <w:p>
            <w:pPr>
              <w:jc w:val="right"/>
              <w:spacing w:after="0" w:line="160"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60" w:lineRule="exact"/>
              <w:rPr>
                <w:sz w:val="20"/>
                <w:szCs w:val="20"/>
                <w:color w:val="auto"/>
              </w:rPr>
            </w:pPr>
            <w:r>
              <w:rPr>
                <w:rFonts w:ascii="Arial" w:cs="Arial" w:eastAsia="Arial" w:hAnsi="Arial"/>
                <w:sz w:val="18"/>
                <w:szCs w:val="18"/>
                <w:color w:val="auto"/>
              </w:rPr>
              <w:t>6</w:t>
            </w:r>
          </w:p>
        </w:tc>
        <w:tc>
          <w:tcPr>
            <w:tcW w:w="1340" w:type="dxa"/>
            <w:vAlign w:val="bottom"/>
            <w:gridSpan w:val="2"/>
          </w:tcPr>
          <w:p>
            <w:pPr>
              <w:jc w:val="right"/>
              <w:spacing w:after="0" w:line="160"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860" w:type="dxa"/>
            <w:vAlign w:val="bottom"/>
            <w:gridSpan w:val="2"/>
            <w:vMerge w:val="restart"/>
          </w:tcPr>
          <w:p>
            <w:pPr>
              <w:ind w:left="20"/>
              <w:spacing w:after="0" w:line="252" w:lineRule="exact"/>
              <w:rPr>
                <w:sz w:val="20"/>
                <w:szCs w:val="20"/>
                <w:color w:val="auto"/>
              </w:rPr>
            </w:pPr>
            <w:r>
              <w:rPr>
                <w:rFonts w:ascii="Arial" w:cs="Arial" w:eastAsia="Arial" w:hAnsi="Arial"/>
                <w:sz w:val="18"/>
                <w:szCs w:val="18"/>
                <w:color w:val="auto"/>
              </w:rPr>
              <w:t>Total IMAX film releases</w:t>
            </w:r>
            <w:r>
              <w:rPr>
                <w:rFonts w:ascii="Arial" w:cs="Arial" w:eastAsia="Arial" w:hAnsi="Arial"/>
                <w:sz w:val="24"/>
                <w:szCs w:val="24"/>
                <w:color w:val="auto"/>
                <w:vertAlign w:val="superscript"/>
              </w:rPr>
              <w:t>(1)</w:t>
            </w: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86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w:t>
            </w:r>
          </w:p>
        </w:tc>
        <w:tc>
          <w:tcPr>
            <w:tcW w:w="26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-1494790</wp:posOffset>
            </wp:positionV>
            <wp:extent cx="93980" cy="1543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-1494790</wp:posOffset>
            </wp:positionV>
            <wp:extent cx="93980" cy="1543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-1222375</wp:posOffset>
            </wp:positionV>
            <wp:extent cx="7747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-1222375</wp:posOffset>
            </wp:positionV>
            <wp:extent cx="7683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-1222375</wp:posOffset>
            </wp:positionV>
            <wp:extent cx="6858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-441960</wp:posOffset>
            </wp:positionV>
            <wp:extent cx="7747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-441960</wp:posOffset>
            </wp:positionV>
            <wp:extent cx="7683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-441960</wp:posOffset>
            </wp:positionV>
            <wp:extent cx="6858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1" w:lineRule="exact"/>
        <w:rPr>
          <w:sz w:val="20"/>
          <w:szCs w:val="20"/>
          <w:color w:val="auto"/>
        </w:rPr>
      </w:pPr>
    </w:p>
    <w:p>
      <w:pPr>
        <w:ind w:left="380" w:hanging="372"/>
        <w:spacing w:after="0" w:line="261"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three and six months ended June 30, 2022, the IMAX films that were newly released through the Company’s global theater network include three and six with IMAX DNA, respectively (2021 — nil and two,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The IMAX films distributed through the Company’s global theater network during the six months ended June 30, 2022 include </w:t>
      </w:r>
      <w:r>
        <w:rPr>
          <w:rFonts w:ascii="Arial" w:cs="Arial" w:eastAsia="Arial" w:hAnsi="Arial"/>
          <w:sz w:val="17"/>
          <w:szCs w:val="17"/>
          <w:i w:val="1"/>
          <w:iCs w:val="1"/>
          <w:color w:val="auto"/>
        </w:rPr>
        <w:t>Top Gun: Maverick</w:t>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Doctor Strange in the Multiverse of Madness</w:t>
      </w:r>
      <w:r>
        <w:rPr>
          <w:rFonts w:ascii="Arial" w:cs="Arial" w:eastAsia="Arial" w:hAnsi="Arial"/>
          <w:sz w:val="17"/>
          <w:szCs w:val="17"/>
          <w:color w:val="auto"/>
        </w:rPr>
        <w:t>,</w:t>
      </w:r>
      <w:r>
        <w:rPr>
          <w:rFonts w:ascii="Arial" w:cs="Arial" w:eastAsia="Arial" w:hAnsi="Arial"/>
          <w:sz w:val="17"/>
          <w:szCs w:val="17"/>
          <w:i w:val="1"/>
          <w:iCs w:val="1"/>
          <w:color w:val="auto"/>
        </w:rPr>
        <w:t xml:space="preserve"> The Batman</w:t>
      </w:r>
      <w:r>
        <w:rPr>
          <w:rFonts w:ascii="Arial" w:cs="Arial" w:eastAsia="Arial" w:hAnsi="Arial"/>
          <w:sz w:val="17"/>
          <w:szCs w:val="17"/>
          <w:color w:val="auto"/>
        </w:rPr>
        <w:t>,</w:t>
      </w:r>
      <w:r>
        <w:rPr>
          <w:rFonts w:ascii="Arial" w:cs="Arial" w:eastAsia="Arial" w:hAnsi="Arial"/>
          <w:sz w:val="17"/>
          <w:szCs w:val="17"/>
          <w:i w:val="1"/>
          <w:iCs w:val="1"/>
          <w:color w:val="auto"/>
        </w:rPr>
        <w:t xml:space="preserve"> Jurassic World Dominion</w:t>
      </w:r>
      <w:r>
        <w:rPr>
          <w:rFonts w:ascii="Arial" w:cs="Arial" w:eastAsia="Arial" w:hAnsi="Arial"/>
          <w:sz w:val="17"/>
          <w:szCs w:val="17"/>
          <w:color w:val="auto"/>
        </w:rPr>
        <w:t>,</w:t>
      </w:r>
      <w:r>
        <w:rPr>
          <w:rFonts w:ascii="Arial" w:cs="Arial" w:eastAsia="Arial" w:hAnsi="Arial"/>
          <w:sz w:val="17"/>
          <w:szCs w:val="17"/>
          <w:i w:val="1"/>
          <w:iCs w:val="1"/>
          <w:color w:val="auto"/>
        </w:rPr>
        <w:t xml:space="preserve"> The Battle at Lake Changjin 2</w:t>
      </w:r>
      <w:r>
        <w:rPr>
          <w:rFonts w:ascii="Arial" w:cs="Arial" w:eastAsia="Arial" w:hAnsi="Arial"/>
          <w:sz w:val="17"/>
          <w:szCs w:val="17"/>
          <w:color w:val="auto"/>
        </w:rPr>
        <w:t>,</w:t>
      </w:r>
      <w:r>
        <w:rPr>
          <w:rFonts w:ascii="Arial" w:cs="Arial" w:eastAsia="Arial" w:hAnsi="Arial"/>
          <w:sz w:val="17"/>
          <w:szCs w:val="17"/>
          <w:i w:val="1"/>
          <w:iCs w:val="1"/>
          <w:color w:val="auto"/>
        </w:rPr>
        <w:t xml:space="preserve"> Spider-Man: No Way Home</w:t>
      </w:r>
      <w:r>
        <w:rPr>
          <w:rFonts w:ascii="Arial" w:cs="Arial" w:eastAsia="Arial" w:hAnsi="Arial"/>
          <w:sz w:val="17"/>
          <w:szCs w:val="17"/>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Fantastic Beasts: The Secrets of Dumbledore, </w:t>
      </w:r>
      <w:r>
        <w:rPr>
          <w:rFonts w:ascii="Arial" w:cs="Arial" w:eastAsia="Arial" w:hAnsi="Arial"/>
          <w:sz w:val="18"/>
          <w:szCs w:val="18"/>
          <w:color w:val="auto"/>
        </w:rPr>
        <w:t>and</w:t>
      </w:r>
      <w:r>
        <w:rPr>
          <w:rFonts w:ascii="Arial" w:cs="Arial" w:eastAsia="Arial" w:hAnsi="Arial"/>
          <w:sz w:val="18"/>
          <w:szCs w:val="18"/>
          <w:i w:val="1"/>
          <w:iCs w:val="1"/>
          <w:color w:val="auto"/>
        </w:rPr>
        <w:t xml:space="preserve"> Uncharted</w:t>
      </w:r>
      <w:r>
        <w:rPr>
          <w:rFonts w:ascii="Arial" w:cs="Arial" w:eastAsia="Arial" w:hAnsi="Arial"/>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2" w:name="page53"/>
    <w:bookmarkEnd w:id="52"/>
    <w:p>
      <w:pPr>
        <w:ind w:left="240"/>
        <w:spacing w:after="0"/>
        <w:rPr>
          <w:sz w:val="20"/>
          <w:szCs w:val="20"/>
          <w:color w:val="auto"/>
        </w:rPr>
      </w:pPr>
      <w:r>
        <w:rPr>
          <w:rFonts w:ascii="Arial" w:cs="Arial" w:eastAsia="Arial" w:hAnsi="Arial"/>
          <w:sz w:val="17"/>
          <w:szCs w:val="17"/>
          <w:color w:val="auto"/>
        </w:rPr>
        <w:t>In addition to the 26 IMAX films newly released through the Company’s global theater network during the six months ended June 30, 2022,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has announced the following 24 additional titles scheduled to be released throughout the remainder of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Scheduled</w:t>
            </w: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43"/>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Studio</w:t>
            </w:r>
          </w:p>
        </w:tc>
        <w:tc>
          <w:tcPr>
            <w:tcW w:w="180" w:type="dxa"/>
            <w:vAlign w:val="bottom"/>
          </w:tcPr>
          <w:p>
            <w:pPr>
              <w:spacing w:after="0"/>
              <w:rPr>
                <w:sz w:val="21"/>
                <w:szCs w:val="21"/>
                <w:color w:val="auto"/>
              </w:rPr>
            </w:pPr>
          </w:p>
        </w:tc>
        <w:tc>
          <w:tcPr>
            <w:tcW w:w="14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8"/>
                <w:szCs w:val="18"/>
                <w:b w:val="1"/>
                <w:bCs w:val="1"/>
                <w:color w:val="auto"/>
                <w:w w:val="85"/>
              </w:rPr>
              <w:t>Release Date</w:t>
            </w:r>
            <w:r>
              <w:rPr>
                <w:rFonts w:ascii="Arial" w:cs="Arial" w:eastAsia="Arial" w:hAnsi="Arial"/>
                <w:sz w:val="24"/>
                <w:szCs w:val="24"/>
                <w:b w:val="1"/>
                <w:bCs w:val="1"/>
                <w:color w:val="auto"/>
                <w:w w:val="85"/>
                <w:vertAlign w:val="superscript"/>
              </w:rPr>
              <w:t>(1)</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IMAX DNA</w:t>
            </w:r>
          </w:p>
        </w:tc>
      </w:tr>
      <w:tr>
        <w:trPr>
          <w:trHeight w:val="183"/>
        </w:trPr>
        <w:tc>
          <w:tcPr>
            <w:tcW w:w="450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i w:val="1"/>
                <w:iCs w:val="1"/>
                <w:color w:val="auto"/>
                <w:w w:val="94"/>
              </w:rPr>
              <w:t>Minions: The Rise Of Gru</w:t>
            </w:r>
          </w:p>
        </w:tc>
        <w:tc>
          <w:tcPr>
            <w:tcW w:w="200" w:type="dxa"/>
            <w:vAlign w:val="bottom"/>
            <w:shd w:val="clear" w:color="auto" w:fill="CFF0FC"/>
          </w:tcPr>
          <w:p>
            <w:pPr>
              <w:spacing w:after="0"/>
              <w:rPr>
                <w:sz w:val="15"/>
                <w:szCs w:val="15"/>
                <w:color w:val="auto"/>
              </w:rPr>
            </w:pPr>
          </w:p>
        </w:tc>
        <w:tc>
          <w:tcPr>
            <w:tcW w:w="23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3"/>
              </w:rPr>
              <w:t>Universal Pictures</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0"/>
              </w:rPr>
              <w:t>July 2022</w:t>
            </w:r>
          </w:p>
        </w:tc>
        <w:tc>
          <w:tcPr>
            <w:tcW w:w="100" w:type="dxa"/>
            <w:vAlign w:val="bottom"/>
            <w:shd w:val="clear" w:color="auto" w:fill="CFF0FC"/>
          </w:tcPr>
          <w:p>
            <w:pPr>
              <w:spacing w:after="0"/>
              <w:rPr>
                <w:sz w:val="15"/>
                <w:szCs w:val="15"/>
                <w:color w:val="auto"/>
              </w:rPr>
            </w:pPr>
          </w:p>
        </w:tc>
        <w:tc>
          <w:tcPr>
            <w:tcW w:w="24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5"/>
              </w:rPr>
              <w:t>Thor: Love &amp; Thunder</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89"/>
              </w:rPr>
              <w:t>Detective Vs. Sleuths</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Super Lion</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1"/>
              </w:rPr>
              <w:t>Mozart From Space</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86"/>
              </w:rPr>
              <w:t>Wanda</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4"/>
              </w:rPr>
              <w:t>Kingdom 2</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Toho</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88"/>
              </w:rPr>
              <w:t>Nope</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3"/>
              </w:rPr>
              <w:t>Universal Pictures</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6"/>
              </w:rPr>
              <w:t>Shot with IMAX Film Cameras</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87"/>
              </w:rPr>
              <w:t>Shamshera</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Yash Raj Films</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8"/>
              </w:rPr>
              <w:t>Alienoid</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3"/>
              </w:rPr>
              <w:t>CJ ENM</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4"/>
              </w:rPr>
              <w:t>Hansan: Rising Dragon</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Lotte</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5"/>
              </w:rPr>
              <w:t>Moon Man</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4"/>
              </w:rPr>
              <w:t>Ali Pictures</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July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6"/>
              </w:rPr>
              <w:t>Bullet Train</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Sony Pictures</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August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2"/>
              </w:rPr>
              <w:t>Emergency Declaration</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1"/>
              </w:rPr>
              <w:t>Showbox</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August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88"/>
              </w:rPr>
              <w:t>One Piece Red</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Toei</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August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line="189" w:lineRule="exact"/>
              <w:rPr>
                <w:sz w:val="20"/>
                <w:szCs w:val="20"/>
                <w:color w:val="auto"/>
              </w:rPr>
            </w:pPr>
            <w:r>
              <w:rPr>
                <w:rFonts w:ascii="Arial" w:cs="Arial" w:eastAsia="Arial" w:hAnsi="Arial"/>
                <w:sz w:val="16"/>
                <w:szCs w:val="16"/>
                <w:i w:val="1"/>
                <w:iCs w:val="1"/>
                <w:color w:val="auto"/>
                <w:w w:val="94"/>
              </w:rPr>
              <w:t xml:space="preserve">E.T. the Extra-Terrestrial </w:t>
            </w:r>
            <w:r>
              <w:rPr>
                <w:rFonts w:ascii="Arial" w:cs="Arial" w:eastAsia="Arial" w:hAnsi="Arial"/>
                <w:sz w:val="16"/>
                <w:szCs w:val="16"/>
                <w:color w:val="auto"/>
                <w:w w:val="94"/>
              </w:rPr>
              <w:t>(exclusive to IMAX)</w:t>
            </w:r>
            <w:r>
              <w:rPr>
                <w:rFonts w:ascii="Arial" w:cs="Arial" w:eastAsia="Arial" w:hAnsi="Arial"/>
                <w:sz w:val="21"/>
                <w:szCs w:val="21"/>
                <w:color w:val="auto"/>
                <w:w w:val="94"/>
                <w:vertAlign w:val="superscript"/>
              </w:rPr>
              <w:t>(2)</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3"/>
              </w:rPr>
              <w:t>Universal Pictures</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August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4"/>
              </w:rPr>
              <w:t>Warriors of Future</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Maoyan</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August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line="189" w:lineRule="exact"/>
              <w:rPr>
                <w:sz w:val="20"/>
                <w:szCs w:val="20"/>
                <w:color w:val="auto"/>
              </w:rPr>
            </w:pPr>
            <w:r>
              <w:rPr>
                <w:rFonts w:ascii="Arial" w:cs="Arial" w:eastAsia="Arial" w:hAnsi="Arial"/>
                <w:sz w:val="16"/>
                <w:szCs w:val="16"/>
                <w:i w:val="1"/>
                <w:iCs w:val="1"/>
                <w:color w:val="auto"/>
                <w:w w:val="82"/>
              </w:rPr>
              <w:t>Jaws</w:t>
            </w:r>
            <w:r>
              <w:rPr>
                <w:rFonts w:ascii="Arial" w:cs="Arial" w:eastAsia="Arial" w:hAnsi="Arial"/>
                <w:sz w:val="21"/>
                <w:szCs w:val="21"/>
                <w:color w:val="auto"/>
                <w:w w:val="82"/>
                <w:vertAlign w:val="superscript"/>
              </w:rPr>
              <w:t>(2)</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3"/>
              </w:rPr>
              <w:t>Universal Pictures</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September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3"/>
              </w:rPr>
              <w:t>Brahmāstra – Part One: Shiva</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Fox Star</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September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1"/>
              </w:rPr>
              <w:t>Moonage Daydream</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5"/>
              </w:rPr>
              <w:t>Neon/Universal</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September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shd w:val="clear" w:color="auto" w:fill="CFF0FC"/>
          </w:tcPr>
          <w:p>
            <w:pPr>
              <w:jc w:val="center"/>
              <w:spacing w:after="0" w:line="189" w:lineRule="exact"/>
              <w:rPr>
                <w:sz w:val="20"/>
                <w:szCs w:val="20"/>
                <w:color w:val="auto"/>
              </w:rPr>
            </w:pPr>
            <w:r>
              <w:rPr>
                <w:rFonts w:ascii="Arial" w:cs="Arial" w:eastAsia="Arial" w:hAnsi="Arial"/>
                <w:sz w:val="16"/>
                <w:szCs w:val="16"/>
                <w:i w:val="1"/>
                <w:iCs w:val="1"/>
                <w:color w:val="auto"/>
                <w:w w:val="88"/>
              </w:rPr>
              <w:t>Avatar</w:t>
            </w:r>
            <w:r>
              <w:rPr>
                <w:rFonts w:ascii="Arial" w:cs="Arial" w:eastAsia="Arial" w:hAnsi="Arial"/>
                <w:sz w:val="21"/>
                <w:szCs w:val="21"/>
                <w:color w:val="auto"/>
                <w:w w:val="88"/>
                <w:vertAlign w:val="superscript"/>
              </w:rPr>
              <w:t>(2)</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September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1"/>
              </w:rPr>
              <w:t>Halloween Ends</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3"/>
              </w:rPr>
              <w:t>Universal Pictures</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October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1"/>
              </w:rPr>
              <w:t>Black Adam</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Warner Bros. Pictures</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October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2"/>
              </w:rPr>
              <w:t>Black Panther 2: Wakanda Forever</w:t>
            </w:r>
          </w:p>
        </w:tc>
        <w:tc>
          <w:tcPr>
            <w:tcW w:w="2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November 2022</w:t>
            </w:r>
          </w:p>
        </w:tc>
        <w:tc>
          <w:tcPr>
            <w:tcW w:w="1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189"/>
        </w:trPr>
        <w:tc>
          <w:tcPr>
            <w:tcW w:w="450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2"/>
              </w:rPr>
              <w:t>Indochine</w:t>
            </w:r>
          </w:p>
        </w:tc>
        <w:tc>
          <w:tcPr>
            <w:tcW w:w="20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Pathe Live</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November 2022</w:t>
            </w:r>
          </w:p>
        </w:tc>
        <w:tc>
          <w:tcPr>
            <w:tcW w:w="10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6"/>
        </w:trPr>
        <w:tc>
          <w:tcPr>
            <w:tcW w:w="4500" w:type="dxa"/>
            <w:vAlign w:val="bottom"/>
          </w:tcPr>
          <w:p>
            <w:pPr>
              <w:jc w:val="center"/>
              <w:spacing w:after="0"/>
              <w:rPr>
                <w:sz w:val="20"/>
                <w:szCs w:val="20"/>
                <w:color w:val="auto"/>
              </w:rPr>
            </w:pPr>
            <w:r>
              <w:rPr>
                <w:rFonts w:ascii="Arial" w:cs="Arial" w:eastAsia="Arial" w:hAnsi="Arial"/>
                <w:sz w:val="16"/>
                <w:szCs w:val="16"/>
                <w:i w:val="1"/>
                <w:iCs w:val="1"/>
                <w:color w:val="auto"/>
                <w:w w:val="91"/>
              </w:rPr>
              <w:t>Avatar: The Way of Water</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December 2022</w:t>
            </w:r>
          </w:p>
        </w:tc>
        <w:tc>
          <w:tcPr>
            <w:tcW w:w="10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5123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53" w:lineRule="exact"/>
        <w:rPr>
          <w:sz w:val="20"/>
          <w:szCs w:val="20"/>
          <w:color w:val="auto"/>
        </w:rPr>
      </w:pPr>
    </w:p>
    <w:p>
      <w:pPr>
        <w:jc w:val="both"/>
        <w:ind w:left="380" w:hanging="372"/>
        <w:spacing w:after="0" w:line="243"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scheduled release dates in the table above are subject to change, including as a result of the impact of the COVID-19 pandemic, may vary by territory, and may not reflect the date(s) of limited premiere events. (See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in this report.)</w:t>
      </w:r>
    </w:p>
    <w:p>
      <w:pPr>
        <w:spacing w:after="0" w:line="147"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Denotes re-release of classic title.</w:t>
      </w:r>
    </w:p>
    <w:p>
      <w:pPr>
        <w:spacing w:after="0" w:line="18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Company remains in active negotiations with all major Hollywood studios for additional films to fill out its short- and long-term film slate for the IMAX network. The Company also expects to announce additional local language IMAX films to be released to its global theater network in the remainder of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71" w:lineRule="exact"/>
        <w:rPr>
          <w:sz w:val="20"/>
          <w:szCs w:val="20"/>
          <w:color w:val="auto"/>
        </w:rPr>
      </w:pPr>
    </w:p>
    <w:p>
      <w:pPr>
        <w:jc w:val="both"/>
        <w:ind w:firstLine="224"/>
        <w:spacing w:after="0" w:line="276" w:lineRule="auto"/>
        <w:rPr>
          <w:sz w:val="20"/>
          <w:szCs w:val="20"/>
          <w:color w:val="auto"/>
        </w:rPr>
      </w:pPr>
      <w:r>
        <w:rPr>
          <w:rFonts w:ascii="Arial" w:cs="Arial" w:eastAsia="Arial" w:hAnsi="Arial"/>
          <w:sz w:val="16"/>
          <w:szCs w:val="16"/>
          <w:color w:val="auto"/>
        </w:rPr>
        <w:t>The JRSA segment provides IMAX Theater Systems to exhibitors through joint revenue sharing arrangements. Under the traditional form of these arrangements, the Company provides the IMAX Theater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35"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7"/>
          <w:szCs w:val="17"/>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3" w:name="page54"/>
    <w:bookmarkEnd w:id="53"/>
    <w:p>
      <w:pPr>
        <w:jc w:val="both"/>
        <w:ind w:firstLine="224"/>
        <w:spacing w:after="0" w:line="294"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20"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Theater Systems, the nature of the arrangement, the location, size and management of the theater and other factors specific to individual arrangements.</w:t>
      </w:r>
    </w:p>
    <w:p>
      <w:pPr>
        <w:spacing w:after="0" w:line="123"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06" w:lineRule="exact"/>
        <w:rPr>
          <w:sz w:val="20"/>
          <w:szCs w:val="20"/>
          <w:color w:val="auto"/>
        </w:rPr>
      </w:pPr>
    </w:p>
    <w:p>
      <w:pPr>
        <w:jc w:val="both"/>
        <w:ind w:firstLine="224"/>
        <w:spacing w:after="0" w:line="238" w:lineRule="auto"/>
        <w:rPr>
          <w:sz w:val="20"/>
          <w:szCs w:val="20"/>
          <w:color w:val="auto"/>
        </w:rPr>
      </w:pPr>
      <w:r>
        <w:rPr>
          <w:rFonts w:ascii="Arial" w:cs="Arial" w:eastAsia="Arial" w:hAnsi="Arial"/>
          <w:sz w:val="18"/>
          <w:szCs w:val="18"/>
          <w:color w:val="auto"/>
        </w:rPr>
        <w:t>Joint revenue sharing arrangements have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June 30, 2022, the Company had 923 theaters under joint revenue sharing arrangements in its global commercial multiplex theater network, a 3% increase as compared to the 897 theaters as of June 30, 2021. The Company also had contracts in backlog for 322 theaters under joint revenue sharing arrangements as of June 30, 2022, including 101 upgrades to existing theater locations and 221 new theater locations.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175"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The IMAX Technology Sales and Maintenance category earns revenue principally from the sale or sales-type lease of IMAX Theater Systems, as well as from the maintenance of IMAX Theater Systems. To a lesser extent, the IMAX Technology Sales and Maintenance category also earns revenue from certain hybrid joint revenue sharing arrangements and certain ancillary theater business activities. These activities are described in more detail below under the captioned section for each respective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85"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31"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7"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revenue earned from customers under the Company’s theater system sale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85"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71"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IMAX Theater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theater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Theater System parts and 3D glasses.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89"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 xml:space="preserve">Through its Film Distribution segment, 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 In March 2022, the Company released the IMAX documentary film entitled </w:t>
      </w:r>
      <w:r>
        <w:rPr>
          <w:rFonts w:ascii="Arial" w:cs="Arial" w:eastAsia="Arial" w:hAnsi="Arial"/>
          <w:sz w:val="18"/>
          <w:szCs w:val="18"/>
          <w:i w:val="1"/>
          <w:iCs w:val="1"/>
          <w:color w:val="auto"/>
        </w:rPr>
        <w:t>IMAX presents The Last Glaciers</w:t>
      </w:r>
      <w:r>
        <w:rPr>
          <w:rFonts w:ascii="Arial" w:cs="Arial" w:eastAsia="Arial" w:hAnsi="Arial"/>
          <w:sz w:val="18"/>
          <w:szCs w:val="18"/>
          <w:color w:val="auto"/>
        </w:rPr>
        <w:t>.</w:t>
      </w:r>
    </w:p>
    <w:p>
      <w:pPr>
        <w:spacing w:after="0" w:line="147"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In addition, the Company continues to evolve its platform to bring new, innovative IMAX Live events and experiences to audiences worldwide. The Company has a connected IMAX theater footprint capable of delivering live, interactive content with low latency and superior sight and sound. As of June 30, 2022, 80 theaters in the IMAX network across the United States, Canada, and Europe were configured to enable the streaming of live events with additional theaters expected to go-live throughout 2022, and the Company expects to double its connected footprint by year-end.</w:t>
      </w:r>
    </w:p>
    <w:p>
      <w:pPr>
        <w:spacing w:after="0" w:line="132"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6"/>
          <w:szCs w:val="16"/>
          <w:color w:val="auto"/>
        </w:rPr>
        <w:t xml:space="preserve">In the first quarter of 2022, the Company distributed </w:t>
      </w:r>
      <w:r>
        <w:rPr>
          <w:rFonts w:ascii="Arial" w:cs="Arial" w:eastAsia="Arial" w:hAnsi="Arial"/>
          <w:sz w:val="16"/>
          <w:szCs w:val="16"/>
          <w:i w:val="1"/>
          <w:iCs w:val="1"/>
          <w:color w:val="auto"/>
        </w:rPr>
        <w:t>IMAX Presents Kanye West: Donda Experience Performance 2 22 22</w:t>
      </w:r>
      <w:r>
        <w:rPr>
          <w:rFonts w:ascii="Arial" w:cs="Arial" w:eastAsia="Arial" w:hAnsi="Arial"/>
          <w:sz w:val="16"/>
          <w:szCs w:val="16"/>
          <w:color w:val="auto"/>
        </w:rPr>
        <w:t xml:space="preserve">, a one-night-only live concert performing his Grammy-nominated album </w:t>
      </w:r>
      <w:r>
        <w:rPr>
          <w:rFonts w:ascii="Arial" w:cs="Arial" w:eastAsia="Arial" w:hAnsi="Arial"/>
          <w:sz w:val="16"/>
          <w:szCs w:val="16"/>
          <w:i w:val="1"/>
          <w:iCs w:val="1"/>
          <w:color w:val="auto"/>
        </w:rPr>
        <w:t>Donda</w:t>
      </w:r>
      <w:r>
        <w:rPr>
          <w:rFonts w:ascii="Arial" w:cs="Arial" w:eastAsia="Arial" w:hAnsi="Arial"/>
          <w:sz w:val="16"/>
          <w:szCs w:val="16"/>
          <w:color w:val="auto"/>
        </w:rPr>
        <w:t xml:space="preserve">, along with a listening party of his highly anticipated new album </w:t>
      </w:r>
      <w:r>
        <w:rPr>
          <w:rFonts w:ascii="Arial" w:cs="Arial" w:eastAsia="Arial" w:hAnsi="Arial"/>
          <w:sz w:val="16"/>
          <w:szCs w:val="16"/>
          <w:i w:val="1"/>
          <w:iCs w:val="1"/>
          <w:color w:val="auto"/>
        </w:rPr>
        <w:t>Donda 2</w:t>
      </w:r>
      <w:r>
        <w:rPr>
          <w:rFonts w:ascii="Arial" w:cs="Arial" w:eastAsia="Arial" w:hAnsi="Arial"/>
          <w:sz w:val="16"/>
          <w:szCs w:val="16"/>
          <w:color w:val="auto"/>
        </w:rPr>
        <w:t xml:space="preserve">, to 60 IMAX theaters across the United States and Canada. Also, in the first quarter of 2022, the Company partnered with Disney for a live Q&amp;A with director and producer Peter Jackson, streaming to 68 IMAX theaters in North America, followed by a special screening of </w:t>
      </w:r>
      <w:r>
        <w:rPr>
          <w:rFonts w:ascii="Arial" w:cs="Arial" w:eastAsia="Arial" w:hAnsi="Arial"/>
          <w:sz w:val="16"/>
          <w:szCs w:val="16"/>
          <w:i w:val="1"/>
          <w:iCs w:val="1"/>
          <w:color w:val="auto"/>
        </w:rPr>
        <w:t>The Beatles: Get Back – The Rooftop Concert</w:t>
      </w:r>
      <w:r>
        <w:rPr>
          <w:rFonts w:ascii="Arial" w:cs="Arial" w:eastAsia="Arial" w:hAnsi="Arial"/>
          <w:sz w:val="16"/>
          <w:szCs w:val="16"/>
          <w:color w:val="auto"/>
        </w:rPr>
        <w:t xml:space="preserve">, which was later released across the IMAX global network. In the second quarter of 2022, the Company partnered with Warner Bros. for a live Q&amp;A that preceded a special screening of </w:t>
      </w:r>
      <w:r>
        <w:rPr>
          <w:rFonts w:ascii="Arial" w:cs="Arial" w:eastAsia="Arial" w:hAnsi="Arial"/>
          <w:sz w:val="16"/>
          <w:szCs w:val="16"/>
          <w:i w:val="1"/>
          <w:iCs w:val="1"/>
          <w:color w:val="auto"/>
        </w:rPr>
        <w:t>Fantastic Beasts: The Secrets of Dumbledore</w:t>
      </w:r>
      <w:r>
        <w:rPr>
          <w:rFonts w:ascii="Arial" w:cs="Arial" w:eastAsia="Arial" w:hAnsi="Arial"/>
          <w:sz w:val="16"/>
          <w:szCs w:val="16"/>
          <w:color w:val="auto"/>
        </w:rPr>
        <w:t xml:space="preserve"> and partnered with Universal for a live Q&amp;A that preceded a special screening of </w:t>
      </w:r>
      <w:r>
        <w:rPr>
          <w:rFonts w:ascii="Arial" w:cs="Arial" w:eastAsia="Arial" w:hAnsi="Arial"/>
          <w:sz w:val="16"/>
          <w:szCs w:val="16"/>
          <w:i w:val="1"/>
          <w:iCs w:val="1"/>
          <w:color w:val="auto"/>
        </w:rPr>
        <w:t>Jurassic World: Dominion</w:t>
      </w:r>
      <w:r>
        <w:rPr>
          <w:rFonts w:ascii="Arial" w:cs="Arial" w:eastAsia="Arial" w:hAnsi="Arial"/>
          <w:sz w:val="16"/>
          <w:szCs w:val="16"/>
          <w:color w:val="auto"/>
        </w:rPr>
        <w:t>. Also, in the second quarter of 2022, IMAX Live, in partnership with Summer Game Fest 2022, presented</w:t>
      </w:r>
      <w:r>
        <w:rPr>
          <w:rFonts w:ascii="Arial" w:cs="Arial" w:eastAsia="Arial" w:hAnsi="Arial"/>
          <w:sz w:val="16"/>
          <w:szCs w:val="16"/>
          <w:i w:val="1"/>
          <w:iCs w:val="1"/>
          <w:color w:val="auto"/>
        </w:rPr>
        <w:t xml:space="preserve"> Summer Game Fest</w:t>
      </w:r>
      <w:r>
        <w:rPr>
          <w:rFonts w:ascii="Arial" w:cs="Arial" w:eastAsia="Arial" w:hAnsi="Arial"/>
          <w:sz w:val="16"/>
          <w:szCs w:val="16"/>
          <w:color w:val="auto"/>
        </w:rPr>
        <w:t>,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first-fan celebration of the future of video games, in connected theaters. The Company expects to have additional IMAX Live events in the remainder of 2022, including Renée Fleming’s </w:t>
      </w:r>
      <w:r>
        <w:rPr>
          <w:rFonts w:ascii="Arial" w:cs="Arial" w:eastAsia="Arial" w:hAnsi="Arial"/>
          <w:sz w:val="16"/>
          <w:szCs w:val="16"/>
          <w:i w:val="1"/>
          <w:iCs w:val="1"/>
          <w:color w:val="auto"/>
        </w:rPr>
        <w:t>Cities That Sing: Paris</w:t>
      </w:r>
      <w:r>
        <w:rPr>
          <w:rFonts w:ascii="Arial" w:cs="Arial" w:eastAsia="Arial" w:hAnsi="Arial"/>
          <w:sz w:val="16"/>
          <w:szCs w:val="16"/>
          <w:color w:val="auto"/>
        </w:rPr>
        <w:t xml:space="preserve"> in September and </w:t>
      </w:r>
      <w:r>
        <w:rPr>
          <w:rFonts w:ascii="Arial" w:cs="Arial" w:eastAsia="Arial" w:hAnsi="Arial"/>
          <w:sz w:val="16"/>
          <w:szCs w:val="16"/>
          <w:i w:val="1"/>
          <w:iCs w:val="1"/>
          <w:color w:val="auto"/>
        </w:rPr>
        <w:t>Cities that Sing: Venice</w:t>
      </w:r>
      <w:r>
        <w:rPr>
          <w:rFonts w:ascii="Arial" w:cs="Arial" w:eastAsia="Arial" w:hAnsi="Arial"/>
          <w:sz w:val="16"/>
          <w:szCs w:val="16"/>
          <w:color w:val="auto"/>
        </w:rPr>
        <w:t xml:space="preserve"> in October.</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w:t>
      </w:r>
    </w:p>
    <w:p>
      <w:pPr>
        <w:spacing w:after="0" w:line="171"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Through its Film Post-Production segment, the Company provides film post-production and quality control services for large-format films, whether produced by IMAX or third parties, and digital post-production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93" w:lineRule="exact"/>
        <w:rPr>
          <w:sz w:val="20"/>
          <w:szCs w:val="20"/>
          <w:color w:val="auto"/>
        </w:rPr>
      </w:pPr>
    </w:p>
    <w:p>
      <w:pPr>
        <w:jc w:val="both"/>
        <w:ind w:firstLine="224"/>
        <w:spacing w:after="0" w:line="223" w:lineRule="auto"/>
        <w:rPr>
          <w:sz w:val="20"/>
          <w:szCs w:val="20"/>
          <w:color w:val="auto"/>
        </w:rPr>
      </w:pPr>
      <w:r>
        <w:rPr>
          <w:rFonts w:ascii="Arial" w:cs="Arial" w:eastAsia="Arial" w:hAnsi="Arial"/>
          <w:sz w:val="18"/>
          <w:szCs w:val="18"/>
          <w:color w:val="auto"/>
        </w:rPr>
        <w:t>IMAX Enhanced</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is an initiative, in partnership with audio leader DTS (an Xperi subsidiary), to bring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151" w:lineRule="exact"/>
        <w:rPr>
          <w:sz w:val="20"/>
          <w:szCs w:val="20"/>
          <w:color w:val="auto"/>
        </w:rPr>
      </w:pPr>
    </w:p>
    <w:p>
      <w:pPr>
        <w:ind w:left="600" w:hanging="368"/>
        <w:spacing w:after="0" w:line="261"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IMAX’s expanded aspect ratio, which is available on select titles and streaming platforms, including Disney+ and features the full scale and scope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as the filmmakers intended;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5" w:name="page56"/>
    <w:bookmarkEnd w:id="55"/>
    <w:p>
      <w:pPr>
        <w:ind w:left="600" w:hanging="368"/>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IMAX’s proprietary remastering technology, which produces a more vivid, higher-fidelity 4K HDR images on today’s best televisions; and</w:t>
      </w:r>
    </w:p>
    <w:p>
      <w:pPr>
        <w:spacing w:after="0" w:line="196" w:lineRule="exact"/>
        <w:rPr>
          <w:rFonts w:ascii="Arial" w:cs="Arial" w:eastAsia="Arial" w:hAnsi="Arial"/>
          <w:sz w:val="17"/>
          <w:szCs w:val="17"/>
          <w:color w:val="auto"/>
        </w:rPr>
      </w:pPr>
    </w:p>
    <w:p>
      <w:pPr>
        <w:ind w:left="600" w:hanging="36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IMAX signature sound, which is specially recreated and calibrated for the home by DTS to unlock more immersive audio.</w:t>
      </w:r>
    </w:p>
    <w:p>
      <w:pPr>
        <w:spacing w:after="0" w:line="171"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To be certified as IMAX Enhanced, leading consumer electronics manufacturers spanning 4K/8K televisions, projectors, A/V receivers, loudspeakers, soundbars and smartphones must meet a carefully prescribed set of audiovisual performance standards, set by a certification committee of IMAX and DTS engineers, along with some of Hollywood’s leading technical specialists.</w:t>
      </w:r>
    </w:p>
    <w:p>
      <w:pPr>
        <w:spacing w:after="0" w:line="141"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At present, certified global device partners include Sony Electronics, Hisense, TCL, LG, Phillips, Xiaomi, Sound United and Honor, among others. As of June 30, 2022, more than 200 IMAX Enhanced titles have been released across five of the biggest streaming platforms worldwide, including Disney+, Sony Bravia CORE, Tencent Video, iQiyi and Rakuten TV. Over 10 million IMAX Enhanced certified devices are estimated to be in the market today.</w:t>
      </w:r>
    </w:p>
    <w:p>
      <w:pPr>
        <w:spacing w:after="0" w:line="120"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 xml:space="preserve">The Company’s collaboration with Disney, which was announced in November 2021, allows fans to stream 15 Marvel titles in IMAX’s Expanded Aspect Ratio at home on Disney+. The 15 titles available on Disney+ include </w:t>
      </w:r>
      <w:r>
        <w:rPr>
          <w:rFonts w:ascii="Arial" w:cs="Arial" w:eastAsia="Arial" w:hAnsi="Arial"/>
          <w:sz w:val="18"/>
          <w:szCs w:val="18"/>
          <w:i w:val="1"/>
          <w:iCs w:val="1"/>
          <w:color w:val="auto"/>
        </w:rPr>
        <w:t>Doctor Strange in the Multiverse of Madness</w:t>
      </w:r>
      <w:r>
        <w:rPr>
          <w:rFonts w:ascii="Arial" w:cs="Arial" w:eastAsia="Arial" w:hAnsi="Arial"/>
          <w:sz w:val="18"/>
          <w:szCs w:val="18"/>
          <w:color w:val="auto"/>
        </w:rPr>
        <w:t xml:space="preserve">, </w:t>
      </w:r>
      <w:r>
        <w:rPr>
          <w:rFonts w:ascii="Arial" w:cs="Arial" w:eastAsia="Arial" w:hAnsi="Arial"/>
          <w:sz w:val="18"/>
          <w:szCs w:val="18"/>
          <w:i w:val="1"/>
          <w:iCs w:val="1"/>
          <w:color w:val="auto"/>
        </w:rPr>
        <w:t>Shang-Chi and The Legend of</w:t>
      </w:r>
      <w:r>
        <w:rPr>
          <w:rFonts w:ascii="Arial" w:cs="Arial" w:eastAsia="Arial" w:hAnsi="Arial"/>
          <w:sz w:val="18"/>
          <w:szCs w:val="18"/>
          <w:color w:val="auto"/>
        </w:rPr>
        <w:t xml:space="preserve"> </w:t>
      </w:r>
      <w:r>
        <w:rPr>
          <w:rFonts w:ascii="Arial" w:cs="Arial" w:eastAsia="Arial" w:hAnsi="Arial"/>
          <w:sz w:val="18"/>
          <w:szCs w:val="18"/>
          <w:i w:val="1"/>
          <w:iCs w:val="1"/>
          <w:color w:val="auto"/>
        </w:rPr>
        <w:t>The Ten Rings</w:t>
      </w:r>
      <w:r>
        <w:rPr>
          <w:rFonts w:ascii="Arial" w:cs="Arial" w:eastAsia="Arial" w:hAnsi="Arial"/>
          <w:sz w:val="18"/>
          <w:szCs w:val="18"/>
          <w:color w:val="auto"/>
        </w:rPr>
        <w:t>, and</w:t>
      </w:r>
      <w:r>
        <w:rPr>
          <w:rFonts w:ascii="Arial" w:cs="Arial" w:eastAsia="Arial" w:hAnsi="Arial"/>
          <w:sz w:val="18"/>
          <w:szCs w:val="18"/>
          <w:i w:val="1"/>
          <w:iCs w:val="1"/>
          <w:color w:val="auto"/>
        </w:rPr>
        <w:t xml:space="preserve"> Eternals</w:t>
      </w:r>
      <w:r>
        <w:rPr>
          <w:rFonts w:ascii="Arial" w:cs="Arial" w:eastAsia="Arial" w:hAnsi="Arial"/>
          <w:sz w:val="18"/>
          <w:szCs w:val="18"/>
          <w:color w:val="auto"/>
        </w:rPr>
        <w:t>, as well as</w:t>
      </w:r>
      <w:r>
        <w:rPr>
          <w:rFonts w:ascii="Arial" w:cs="Arial" w:eastAsia="Arial" w:hAnsi="Arial"/>
          <w:sz w:val="18"/>
          <w:szCs w:val="18"/>
          <w:i w:val="1"/>
          <w:iCs w:val="1"/>
          <w:color w:val="auto"/>
        </w:rPr>
        <w:t xml:space="preserve"> Iron Man</w:t>
      </w:r>
      <w:r>
        <w:rPr>
          <w:rFonts w:ascii="Arial" w:cs="Arial" w:eastAsia="Arial" w:hAnsi="Arial"/>
          <w:sz w:val="18"/>
          <w:szCs w:val="18"/>
          <w:color w:val="auto"/>
        </w:rPr>
        <w:t>,</w:t>
      </w:r>
      <w:r>
        <w:rPr>
          <w:rFonts w:ascii="Arial" w:cs="Arial" w:eastAsia="Arial" w:hAnsi="Arial"/>
          <w:sz w:val="18"/>
          <w:szCs w:val="18"/>
          <w:i w:val="1"/>
          <w:iCs w:val="1"/>
          <w:color w:val="auto"/>
        </w:rPr>
        <w:t xml:space="preserve"> Guardians of the Galaxy</w:t>
      </w:r>
      <w:r>
        <w:rPr>
          <w:rFonts w:ascii="Arial" w:cs="Arial" w:eastAsia="Arial" w:hAnsi="Arial"/>
          <w:sz w:val="18"/>
          <w:szCs w:val="18"/>
          <w:color w:val="auto"/>
        </w:rPr>
        <w:t>,</w:t>
      </w:r>
      <w:r>
        <w:rPr>
          <w:rFonts w:ascii="Arial" w:cs="Arial" w:eastAsia="Arial" w:hAnsi="Arial"/>
          <w:sz w:val="18"/>
          <w:szCs w:val="18"/>
          <w:i w:val="1"/>
          <w:iCs w:val="1"/>
          <w:color w:val="auto"/>
        </w:rPr>
        <w:t xml:space="preserve"> Guardians of the Galaxy Vol. 2, Captain America: Civil War</w:t>
      </w:r>
      <w:r>
        <w:rPr>
          <w:rFonts w:ascii="Arial" w:cs="Arial" w:eastAsia="Arial" w:hAnsi="Arial"/>
          <w:sz w:val="18"/>
          <w:szCs w:val="18"/>
          <w:color w:val="auto"/>
        </w:rPr>
        <w:t>,</w:t>
      </w:r>
      <w:r>
        <w:rPr>
          <w:rFonts w:ascii="Arial" w:cs="Arial" w:eastAsia="Arial" w:hAnsi="Arial"/>
          <w:sz w:val="18"/>
          <w:szCs w:val="18"/>
          <w:i w:val="1"/>
          <w:iCs w:val="1"/>
          <w:color w:val="auto"/>
        </w:rPr>
        <w:t xml:space="preserve"> Doctor Strange</w:t>
      </w:r>
      <w:r>
        <w:rPr>
          <w:rFonts w:ascii="Arial" w:cs="Arial" w:eastAsia="Arial" w:hAnsi="Arial"/>
          <w:sz w:val="18"/>
          <w:szCs w:val="18"/>
          <w:color w:val="auto"/>
        </w:rPr>
        <w:t>,</w:t>
      </w:r>
      <w:r>
        <w:rPr>
          <w:rFonts w:ascii="Arial" w:cs="Arial" w:eastAsia="Arial" w:hAnsi="Arial"/>
          <w:sz w:val="18"/>
          <w:szCs w:val="18"/>
          <w:i w:val="1"/>
          <w:iCs w:val="1"/>
          <w:color w:val="auto"/>
        </w:rPr>
        <w:t xml:space="preserve"> Thor: Ragnarok</w:t>
      </w:r>
      <w:r>
        <w:rPr>
          <w:rFonts w:ascii="Arial" w:cs="Arial" w:eastAsia="Arial" w:hAnsi="Arial"/>
          <w:sz w:val="18"/>
          <w:szCs w:val="18"/>
          <w:color w:val="auto"/>
        </w:rPr>
        <w:t>,</w:t>
      </w:r>
      <w:r>
        <w:rPr>
          <w:rFonts w:ascii="Arial" w:cs="Arial" w:eastAsia="Arial" w:hAnsi="Arial"/>
          <w:sz w:val="18"/>
          <w:szCs w:val="18"/>
          <w:i w:val="1"/>
          <w:iCs w:val="1"/>
          <w:color w:val="auto"/>
        </w:rPr>
        <w:t xml:space="preserve"> Black Panther</w:t>
      </w:r>
      <w:r>
        <w:rPr>
          <w:rFonts w:ascii="Arial" w:cs="Arial" w:eastAsia="Arial" w:hAnsi="Arial"/>
          <w:sz w:val="18"/>
          <w:szCs w:val="18"/>
          <w:color w:val="auto"/>
        </w:rPr>
        <w:t>,</w:t>
      </w:r>
      <w:r>
        <w:rPr>
          <w:rFonts w:ascii="Arial" w:cs="Arial" w:eastAsia="Arial" w:hAnsi="Arial"/>
          <w:sz w:val="18"/>
          <w:szCs w:val="18"/>
          <w:i w:val="1"/>
          <w:iCs w:val="1"/>
          <w:color w:val="auto"/>
        </w:rPr>
        <w:t xml:space="preserve"> Avengers: Infinity War</w:t>
      </w:r>
      <w:r>
        <w:rPr>
          <w:rFonts w:ascii="Arial" w:cs="Arial" w:eastAsia="Arial" w:hAnsi="Arial"/>
          <w:sz w:val="18"/>
          <w:szCs w:val="18"/>
          <w:color w:val="auto"/>
        </w:rPr>
        <w:t>,</w:t>
      </w:r>
      <w:r>
        <w:rPr>
          <w:rFonts w:ascii="Arial" w:cs="Arial" w:eastAsia="Arial" w:hAnsi="Arial"/>
          <w:sz w:val="18"/>
          <w:szCs w:val="18"/>
          <w:i w:val="1"/>
          <w:iCs w:val="1"/>
          <w:color w:val="auto"/>
        </w:rPr>
        <w:t xml:space="preserve"> Ant-Man and The Wasp</w:t>
      </w:r>
      <w:r>
        <w:rPr>
          <w:rFonts w:ascii="Arial" w:cs="Arial" w:eastAsia="Arial" w:hAnsi="Arial"/>
          <w:sz w:val="18"/>
          <w:szCs w:val="18"/>
          <w:color w:val="auto"/>
        </w:rPr>
        <w:t>,</w:t>
      </w:r>
      <w:r>
        <w:rPr>
          <w:rFonts w:ascii="Arial" w:cs="Arial" w:eastAsia="Arial" w:hAnsi="Arial"/>
          <w:sz w:val="18"/>
          <w:szCs w:val="18"/>
          <w:i w:val="1"/>
          <w:iCs w:val="1"/>
          <w:color w:val="auto"/>
        </w:rPr>
        <w:t xml:space="preserve"> Captain Marvel</w:t>
      </w:r>
      <w:r>
        <w:rPr>
          <w:rFonts w:ascii="Arial" w:cs="Arial" w:eastAsia="Arial" w:hAnsi="Arial"/>
          <w:sz w:val="18"/>
          <w:szCs w:val="18"/>
          <w:color w:val="auto"/>
        </w:rPr>
        <w:t>,</w:t>
      </w:r>
      <w:r>
        <w:rPr>
          <w:rFonts w:ascii="Arial" w:cs="Arial" w:eastAsia="Arial" w:hAnsi="Arial"/>
          <w:sz w:val="18"/>
          <w:szCs w:val="18"/>
          <w:i w:val="1"/>
          <w:iCs w:val="1"/>
          <w:color w:val="auto"/>
        </w:rPr>
        <w:t xml:space="preserve"> Avengers: Endgame</w:t>
      </w:r>
      <w:r>
        <w:rPr>
          <w:rFonts w:ascii="Arial" w:cs="Arial" w:eastAsia="Arial" w:hAnsi="Arial"/>
          <w:sz w:val="18"/>
          <w:szCs w:val="18"/>
          <w:color w:val="auto"/>
        </w:rPr>
        <w:t>, and</w:t>
      </w:r>
      <w:r>
        <w:rPr>
          <w:rFonts w:ascii="Arial" w:cs="Arial" w:eastAsia="Arial" w:hAnsi="Arial"/>
          <w:sz w:val="18"/>
          <w:szCs w:val="18"/>
          <w:i w:val="1"/>
          <w:iCs w:val="1"/>
          <w:color w:val="auto"/>
        </w:rPr>
        <w:t xml:space="preserve"> Black Widow </w:t>
      </w:r>
      <w:r>
        <w:rPr>
          <w:rFonts w:ascii="Arial" w:cs="Arial" w:eastAsia="Arial" w:hAnsi="Arial"/>
          <w:sz w:val="18"/>
          <w:szCs w:val="18"/>
          <w:color w:val="auto"/>
        </w:rPr>
        <w:t>(content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varies by region). The launch of IMAX Enhanced on Disney+ provides strong brand exposure for IMAX by expanding the Company’s in-home entertainment footprint to more than 80 million subscribers.</w:t>
      </w:r>
    </w:p>
    <w:p>
      <w:pPr>
        <w:spacing w:after="0" w:line="149"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IMAX Enhanced and the collaboration with Disney is part of the Company’s next evolutionary step to extend the IMAX brand and technology further into new use cases, including streaming entertainment and the consumer electronics market.</w:t>
      </w:r>
    </w:p>
    <w:p>
      <w:pPr>
        <w:spacing w:after="0" w:line="130" w:lineRule="exact"/>
        <w:rPr>
          <w:sz w:val="20"/>
          <w:szCs w:val="20"/>
          <w:color w:val="auto"/>
        </w:rPr>
      </w:pPr>
    </w:p>
    <w:p>
      <w:pPr>
        <w:jc w:val="both"/>
        <w:ind w:firstLine="224"/>
        <w:spacing w:after="0" w:line="324" w:lineRule="auto"/>
        <w:rPr>
          <w:sz w:val="20"/>
          <w:szCs w:val="20"/>
          <w:color w:val="auto"/>
        </w:rPr>
      </w:pPr>
      <w:r>
        <w:rPr>
          <w:rFonts w:ascii="Arial" w:cs="Arial" w:eastAsia="Arial" w:hAnsi="Arial"/>
          <w:sz w:val="16"/>
          <w:szCs w:val="16"/>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w:t>
      </w:r>
    </w:p>
    <w:p>
      <w:pPr>
        <w:spacing w:after="0" w:line="97"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All Other also includes revenues from the one owned and operated IMAX theater in Sacramento, California; a commercial arrangement with one theater resulting in the sharing of profits and losses; the provision of management services to three other theaters; renting the Company's proprietary 2D and 3D large-format film and digital cameras to third-party production companies; and also offering production advice and technical assistance to both documentary and Hollywood filmmakers.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IMAX NETWORK AND BACKLOG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IMAX network by type and geographic location as of June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0"/>
              </w:rPr>
              <w:t>June 30, 2022</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46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Institutional</w:t>
            </w:r>
          </w:p>
        </w:tc>
        <w:tc>
          <w:tcPr>
            <w:tcW w:w="100" w:type="dxa"/>
            <w:vAlign w:val="bottom"/>
          </w:tcPr>
          <w:p>
            <w:pPr>
              <w:spacing w:after="0"/>
              <w:rPr>
                <w:sz w:val="11"/>
                <w:szCs w:val="11"/>
                <w:color w:val="auto"/>
              </w:rPr>
            </w:pPr>
          </w:p>
        </w:tc>
        <w:tc>
          <w:tcPr>
            <w:tcW w:w="7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060" w:type="dxa"/>
            <w:vAlign w:val="bottom"/>
          </w:tcPr>
          <w:p>
            <w:pPr>
              <w:jc w:val="right"/>
              <w:ind w:right="119"/>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04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1"/>
                <w:szCs w:val="11"/>
                <w:color w:val="auto"/>
              </w:rPr>
            </w:pPr>
          </w:p>
        </w:tc>
        <w:tc>
          <w:tcPr>
            <w:tcW w:w="11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Institutional</w:t>
            </w:r>
          </w:p>
        </w:tc>
        <w:tc>
          <w:tcPr>
            <w:tcW w:w="100" w:type="dxa"/>
            <w:vAlign w:val="bottom"/>
          </w:tcPr>
          <w:p>
            <w:pPr>
              <w:spacing w:after="0"/>
              <w:rPr>
                <w:sz w:val="11"/>
                <w:szCs w:val="11"/>
                <w:color w:val="auto"/>
              </w:rPr>
            </w:pPr>
          </w:p>
        </w:tc>
        <w:tc>
          <w:tcPr>
            <w:tcW w:w="8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Multiplex</w:t>
            </w:r>
          </w:p>
        </w:tc>
        <w:tc>
          <w:tcPr>
            <w:tcW w:w="120" w:type="dxa"/>
            <w:vAlign w:val="bottom"/>
          </w:tcPr>
          <w:p>
            <w:pPr>
              <w:spacing w:after="0"/>
              <w:rPr>
                <w:sz w:val="16"/>
                <w:szCs w:val="16"/>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Arial" w:cs="Arial" w:eastAsia="Arial" w:hAnsi="Arial"/>
                <w:sz w:val="14"/>
                <w:szCs w:val="14"/>
                <w:b w:val="1"/>
                <w:bCs w:val="1"/>
                <w:color w:val="auto"/>
              </w:rPr>
              <w:t>Multiplex</w:t>
            </w:r>
          </w:p>
        </w:tc>
        <w:tc>
          <w:tcPr>
            <w:tcW w:w="120" w:type="dxa"/>
            <w:vAlign w:val="bottom"/>
          </w:tcPr>
          <w:p>
            <w:pPr>
              <w:spacing w:after="0"/>
              <w:rPr>
                <w:sz w:val="16"/>
                <w:szCs w:val="16"/>
                <w:color w:val="auto"/>
              </w:rPr>
            </w:pPr>
          </w:p>
        </w:tc>
        <w:tc>
          <w:tcPr>
            <w:tcW w:w="1040" w:type="dxa"/>
            <w:vAlign w:val="bottom"/>
          </w:tcPr>
          <w:p>
            <w:pPr>
              <w:jc w:val="right"/>
              <w:ind w:right="137"/>
              <w:spacing w:after="0"/>
              <w:rPr>
                <w:sz w:val="20"/>
                <w:szCs w:val="20"/>
                <w:color w:val="auto"/>
              </w:rPr>
            </w:pPr>
            <w:r>
              <w:rPr>
                <w:rFonts w:ascii="Arial" w:cs="Arial" w:eastAsia="Arial" w:hAnsi="Arial"/>
                <w:sz w:val="14"/>
                <w:szCs w:val="14"/>
                <w:b w:val="1"/>
                <w:bCs w:val="1"/>
                <w:color w:val="auto"/>
              </w:rPr>
              <w:t>Destination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100" w:type="dxa"/>
            <w:vAlign w:val="bottom"/>
            <w:tcBorders>
              <w:top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361</w:t>
            </w:r>
          </w:p>
        </w:tc>
        <w:tc>
          <w:tcPr>
            <w:tcW w:w="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2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Canada</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57"/>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39</w:t>
            </w:r>
          </w:p>
        </w:tc>
        <w:tc>
          <w:tcPr>
            <w:tcW w:w="1160" w:type="dxa"/>
            <w:vAlign w:val="bottom"/>
            <w:gridSpan w:val="2"/>
          </w:tcPr>
          <w:p>
            <w:pPr>
              <w:jc w:val="right"/>
              <w:ind w:right="37"/>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7</w:t>
            </w:r>
          </w:p>
        </w:tc>
        <w:tc>
          <w:tcPr>
            <w:tcW w:w="90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Greater China</w:t>
            </w:r>
            <w:r>
              <w:rPr>
                <w:rFonts w:ascii="Arial" w:cs="Arial" w:eastAsia="Arial" w:hAnsi="Arial"/>
                <w:sz w:val="23"/>
                <w:szCs w:val="23"/>
                <w:color w:val="auto"/>
                <w:vertAlign w:val="superscript"/>
              </w:rPr>
              <w:t>(1)</w:t>
            </w:r>
          </w:p>
        </w:tc>
        <w:tc>
          <w:tcPr>
            <w:tcW w:w="11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773</w:t>
            </w: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w:t>
            </w:r>
          </w:p>
        </w:tc>
        <w:tc>
          <w:tcPr>
            <w:tcW w:w="880" w:type="dxa"/>
            <w:vAlign w:val="bottom"/>
            <w:gridSpan w:val="2"/>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788</w:t>
            </w:r>
          </w:p>
        </w:tc>
        <w:tc>
          <w:tcPr>
            <w:tcW w:w="116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16</w:t>
            </w:r>
          </w:p>
        </w:tc>
        <w:tc>
          <w:tcPr>
            <w:tcW w:w="900" w:type="dxa"/>
            <w:vAlign w:val="bottom"/>
            <w:gridSpan w:val="2"/>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3"/>
        </w:trPr>
        <w:tc>
          <w:tcPr>
            <w:tcW w:w="2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Western Europe</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115</w:t>
            </w:r>
          </w:p>
        </w:tc>
        <w:tc>
          <w:tcPr>
            <w:tcW w:w="1320" w:type="dxa"/>
            <w:vAlign w:val="bottom"/>
            <w:gridSpan w:val="2"/>
          </w:tcPr>
          <w:p>
            <w:pPr>
              <w:jc w:val="right"/>
              <w:ind w:right="57"/>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127</w:t>
            </w:r>
          </w:p>
        </w:tc>
        <w:tc>
          <w:tcPr>
            <w:tcW w:w="11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115</w:t>
            </w:r>
          </w:p>
        </w:tc>
        <w:tc>
          <w:tcPr>
            <w:tcW w:w="1160" w:type="dxa"/>
            <w:vAlign w:val="bottom"/>
            <w:gridSpan w:val="2"/>
          </w:tcPr>
          <w:p>
            <w:pPr>
              <w:jc w:val="right"/>
              <w:ind w:right="37"/>
              <w:spacing w:after="0" w:line="202" w:lineRule="exact"/>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62"/>
        </w:trPr>
        <w:tc>
          <w:tcPr>
            <w:tcW w:w="216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Asia (excluding Greater</w:t>
            </w:r>
          </w:p>
        </w:tc>
        <w:tc>
          <w:tcPr>
            <w:tcW w:w="110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127</w:t>
            </w:r>
          </w:p>
        </w:tc>
        <w:tc>
          <w:tcPr>
            <w:tcW w:w="132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880" w:type="dxa"/>
            <w:vAlign w:val="bottom"/>
            <w:gridSpan w:val="2"/>
            <w:vMerge w:val="restart"/>
            <w:shd w:val="clear" w:color="auto" w:fill="CFF0FC"/>
          </w:tcPr>
          <w:p>
            <w:pPr>
              <w:jc w:val="right"/>
              <w:ind w:right="36"/>
              <w:spacing w:after="0"/>
              <w:rPr>
                <w:sz w:val="20"/>
                <w:szCs w:val="20"/>
                <w:color w:val="auto"/>
              </w:rPr>
            </w:pPr>
            <w:r>
              <w:rPr>
                <w:rFonts w:ascii="Arial" w:cs="Arial" w:eastAsia="Arial" w:hAnsi="Arial"/>
                <w:sz w:val="18"/>
                <w:szCs w:val="18"/>
                <w:color w:val="auto"/>
              </w:rPr>
              <w:t>131</w:t>
            </w:r>
          </w:p>
        </w:tc>
        <w:tc>
          <w:tcPr>
            <w:tcW w:w="116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8"/>
                <w:szCs w:val="18"/>
                <w:color w:val="auto"/>
              </w:rPr>
              <w:t>121</w:t>
            </w:r>
          </w:p>
        </w:tc>
        <w:tc>
          <w:tcPr>
            <w:tcW w:w="1160" w:type="dxa"/>
            <w:vAlign w:val="bottom"/>
            <w:gridSpan w:val="2"/>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2</w:t>
            </w:r>
          </w:p>
        </w:tc>
        <w:tc>
          <w:tcPr>
            <w:tcW w:w="1240" w:type="dxa"/>
            <w:vAlign w:val="bottom"/>
            <w:gridSpan w:val="2"/>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900" w:type="dxa"/>
            <w:vAlign w:val="bottom"/>
            <w:gridSpan w:val="2"/>
            <w:vMerge w:val="restart"/>
            <w:shd w:val="clear" w:color="auto" w:fill="CFF0FC"/>
          </w:tcPr>
          <w:p>
            <w:pPr>
              <w:jc w:val="right"/>
              <w:ind w:right="36"/>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China)</w:t>
            </w:r>
          </w:p>
        </w:tc>
        <w:tc>
          <w:tcPr>
            <w:tcW w:w="110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Russia/the CIS &amp;</w:t>
            </w:r>
          </w:p>
        </w:tc>
        <w:tc>
          <w:tcPr>
            <w:tcW w:w="1100" w:type="dxa"/>
            <w:vAlign w:val="bottom"/>
            <w:vMerge w:val="restart"/>
          </w:tcPr>
          <w:p>
            <w:pPr>
              <w:jc w:val="right"/>
              <w:ind w:right="5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4"/>
                <w:szCs w:val="14"/>
                <w:color w:val="auto"/>
              </w:rPr>
            </w:pPr>
          </w:p>
        </w:tc>
        <w:tc>
          <w:tcPr>
            <w:tcW w:w="146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36"/>
              <w:spacing w:after="0"/>
              <w:rPr>
                <w:sz w:val="20"/>
                <w:szCs w:val="20"/>
                <w:color w:val="auto"/>
              </w:rPr>
            </w:pPr>
            <w:r>
              <w:rPr>
                <w:rFonts w:ascii="Arial" w:cs="Arial" w:eastAsia="Arial" w:hAnsi="Arial"/>
                <w:sz w:val="18"/>
                <w:szCs w:val="18"/>
                <w:color w:val="auto"/>
              </w:rPr>
              <w:t>70</w:t>
            </w:r>
          </w:p>
        </w:tc>
        <w:tc>
          <w:tcPr>
            <w:tcW w:w="116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4"/>
                <w:szCs w:val="14"/>
                <w:color w:val="auto"/>
              </w:rPr>
            </w:pPr>
          </w:p>
        </w:tc>
        <w:tc>
          <w:tcPr>
            <w:tcW w:w="104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3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Ukraine</w:t>
            </w:r>
            <w:r>
              <w:rPr>
                <w:rFonts w:ascii="Arial" w:cs="Arial" w:eastAsia="Arial" w:hAnsi="Arial"/>
                <w:sz w:val="24"/>
                <w:szCs w:val="24"/>
                <w:color w:val="auto"/>
                <w:vertAlign w:val="superscript"/>
              </w:rPr>
              <w:t>(2)</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Latin America</w:t>
            </w:r>
            <w:r>
              <w:rPr>
                <w:rFonts w:ascii="Arial" w:cs="Arial" w:eastAsia="Arial" w:hAnsi="Arial"/>
                <w:sz w:val="23"/>
                <w:szCs w:val="23"/>
                <w:color w:val="auto"/>
                <w:vertAlign w:val="superscript"/>
              </w:rPr>
              <w:t>(3)</w:t>
            </w:r>
          </w:p>
        </w:tc>
        <w:tc>
          <w:tcPr>
            <w:tcW w:w="11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54</w:t>
            </w:r>
          </w:p>
        </w:tc>
        <w:tc>
          <w:tcPr>
            <w:tcW w:w="1320" w:type="dxa"/>
            <w:vAlign w:val="bottom"/>
            <w:gridSpan w:val="2"/>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880" w:type="dxa"/>
            <w:vAlign w:val="bottom"/>
            <w:gridSpan w:val="2"/>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51</w:t>
            </w:r>
          </w:p>
        </w:tc>
        <w:tc>
          <w:tcPr>
            <w:tcW w:w="1160" w:type="dxa"/>
            <w:vAlign w:val="bottom"/>
            <w:gridSpan w:val="2"/>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w:t>
            </w:r>
          </w:p>
        </w:tc>
        <w:tc>
          <w:tcPr>
            <w:tcW w:w="900" w:type="dxa"/>
            <w:vAlign w:val="bottom"/>
            <w:gridSpan w:val="2"/>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 of the World</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68</w:t>
            </w:r>
          </w:p>
        </w:tc>
        <w:tc>
          <w:tcPr>
            <w:tcW w:w="120" w:type="dxa"/>
            <w:vAlign w:val="bottom"/>
          </w:tcPr>
          <w:p>
            <w:pPr>
              <w:spacing w:after="0"/>
              <w:rPr>
                <w:sz w:val="17"/>
                <w:szCs w:val="17"/>
                <w:color w:val="auto"/>
              </w:rPr>
            </w:pPr>
          </w:p>
        </w:tc>
        <w:tc>
          <w:tcPr>
            <w:tcW w:w="14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70</w:t>
            </w:r>
          </w:p>
        </w:tc>
        <w:tc>
          <w:tcPr>
            <w:tcW w:w="11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10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CFF0FC"/>
            </w:tcBorders>
            <w:gridSpan w:val="2"/>
            <w:shd w:val="clear" w:color="auto" w:fill="CFF0FC"/>
          </w:tcPr>
          <w:p>
            <w:pPr>
              <w:ind w:left="20"/>
              <w:spacing w:after="0" w:line="195" w:lineRule="exact"/>
              <w:rPr>
                <w:sz w:val="20"/>
                <w:szCs w:val="20"/>
                <w:color w:val="auto"/>
              </w:rPr>
            </w:pPr>
            <w:r>
              <w:rPr>
                <w:rFonts w:ascii="Arial" w:cs="Arial" w:eastAsia="Arial" w:hAnsi="Arial"/>
                <w:sz w:val="17"/>
                <w:szCs w:val="17"/>
                <w:color w:val="auto"/>
              </w:rPr>
              <w:t>Total</w:t>
            </w:r>
            <w:r>
              <w:rPr>
                <w:rFonts w:ascii="Arial" w:cs="Arial" w:eastAsia="Arial" w:hAnsi="Arial"/>
                <w:sz w:val="22"/>
                <w:szCs w:val="22"/>
                <w:color w:val="auto"/>
                <w:vertAlign w:val="superscript"/>
              </w:rPr>
              <w:t>(4)</w:t>
            </w:r>
          </w:p>
        </w:tc>
        <w:tc>
          <w:tcPr>
            <w:tcW w:w="1100" w:type="dxa"/>
            <w:vAlign w:val="bottom"/>
            <w:tcBorders>
              <w:top w:val="single" w:sz="8" w:color="auto"/>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1,610</w:t>
            </w: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1,694</w:t>
            </w:r>
          </w:p>
        </w:tc>
        <w:tc>
          <w:tcPr>
            <w:tcW w:w="1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1,569</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-170815</wp:posOffset>
            </wp:positionV>
            <wp:extent cx="768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-153670</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-170815</wp:posOffset>
            </wp:positionV>
            <wp:extent cx="768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-153670</wp:posOffset>
            </wp:positionV>
            <wp:extent cx="768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-153670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-153670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-153670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-170815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-153670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84" w:lineRule="exact"/>
        <w:rPr>
          <w:rFonts w:ascii="Arial" w:cs="Arial" w:eastAsia="Arial" w:hAnsi="Arial"/>
          <w:sz w:val="18"/>
          <w:szCs w:val="18"/>
          <w:color w:val="auto"/>
        </w:rPr>
      </w:pPr>
    </w:p>
    <w:p>
      <w:pPr>
        <w:jc w:val="both"/>
        <w:ind w:left="380" w:hanging="372"/>
        <w:spacing w:after="0" w:line="248"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Russia, the CIS includes Azerbaijan, Belarus, Kazakhstan, and Kyrgyzstan. In March 2022, in response to the ongoing conflict between Russia and Ukraine and resulting sanctions, the Company suspended its operations in Russia and Belarus. As of June 30, 2022, the IMAX network includes 54 theaters in Russia, nine theaters in Ukraine, and one theater in Belarus.</w:t>
      </w:r>
    </w:p>
    <w:p>
      <w:pPr>
        <w:spacing w:after="0" w:line="141"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Period-to-period changes in the table above are reported net of the effect of permanently closed theaters.</w:t>
      </w:r>
    </w:p>
    <w:p>
      <w:pPr>
        <w:spacing w:after="0" w:line="185"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7"/>
          <w:szCs w:val="17"/>
          <w:color w:val="auto"/>
        </w:rPr>
        <w:t>The Company currently believes that over time its commercial multiplex network could grow to approximately 3,318 IMAX theaters worldwide from the 1,610 theaters in the network as of June 30, 2022. The Company believes that the majority of its future growth will come from international markets. As of June 30, 2022, 75% of IMAX Theater Systems in the global commercial multiplex network were located within international markets (defined as all countries other than the United States and Canada), compared to 74% as of June 30, 2021. Revenues and GBO derived from international markets continue to exceed revenues and GBO from the United States and Canada. Risks associated with the Company’s international business, including Russia, are outlined in “Risk Factors – The Company conducts business internationally, which exposes it to uncertainties and risks that could negatively affect its operations, sales and future growth prospects” in Part II, Item 1A in this report.</w:t>
      </w:r>
    </w:p>
    <w:p>
      <w:pPr>
        <w:spacing w:after="0" w:line="139" w:lineRule="exact"/>
        <w:rPr>
          <w:sz w:val="20"/>
          <w:szCs w:val="20"/>
          <w:color w:val="auto"/>
        </w:rPr>
      </w:pPr>
    </w:p>
    <w:p>
      <w:pPr>
        <w:jc w:val="both"/>
        <w:ind w:firstLine="224"/>
        <w:spacing w:after="0" w:line="242" w:lineRule="auto"/>
        <w:rPr>
          <w:sz w:val="20"/>
          <w:szCs w:val="20"/>
          <w:color w:val="auto"/>
        </w:rPr>
      </w:pPr>
      <w:r>
        <w:rPr>
          <w:rFonts w:ascii="Arial" w:cs="Arial" w:eastAsia="Arial" w:hAnsi="Arial"/>
          <w:sz w:val="18"/>
          <w:szCs w:val="18"/>
          <w:color w:val="auto"/>
        </w:rPr>
        <w:t>In the year ended December 31, 2021, 44% of the Company's consolidated revenue was generated from its Greater China operations (2020 — 38%, 2019 — 31%)</w:t>
      </w:r>
      <w:r>
        <w:rPr>
          <w:rFonts w:ascii="Arial" w:cs="Arial" w:eastAsia="Arial" w:hAnsi="Arial"/>
          <w:sz w:val="19"/>
          <w:szCs w:val="19"/>
          <w:color w:val="auto"/>
        </w:rPr>
        <w:t>.</w:t>
      </w:r>
      <w:r>
        <w:rPr>
          <w:rFonts w:ascii="Arial" w:cs="Arial" w:eastAsia="Arial" w:hAnsi="Arial"/>
          <w:sz w:val="18"/>
          <w:szCs w:val="18"/>
          <w:color w:val="auto"/>
        </w:rPr>
        <w:t xml:space="preserve"> As of June 30, 2022, the Company had 788 theaters operating in Greater China with an additional 208 theaters in backlog. The Company’s backlog in Greater China represents 42% of its total current backlog, including upgrades in system type. The Company has a partnership in China with Wanda Film (“Wanda”). As of June 30, 2022, through the Company’s partnership with Wanda, there are 373 IMAX Theater Systems operational in Greater China of which 359 are under the parties’ joint revenue sharing arrangements.</w:t>
      </w:r>
    </w:p>
    <w:p>
      <w:pPr>
        <w:spacing w:after="0" w:line="146"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(See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Theater Systems and the demand for new IMAX Theater Systems,” and “Risk Factors – The Company may not convert all of its backlog into revenue and cash flows” in Part I, Item 1A of the Company’s 2021 Form 10-K.)</w:t>
      </w:r>
    </w:p>
    <w:p>
      <w:pPr>
        <w:spacing w:after="0" w:line="161"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7" w:name="page58"/>
    <w:bookmarkEnd w:id="57"/>
    <w:p>
      <w:pPr>
        <w:ind w:firstLine="224"/>
        <w:spacing w:after="0" w:line="261" w:lineRule="auto"/>
        <w:rPr>
          <w:sz w:val="20"/>
          <w:szCs w:val="20"/>
          <w:color w:val="auto"/>
        </w:rPr>
      </w:pPr>
      <w:r>
        <w:rPr>
          <w:rFonts w:ascii="Arial" w:cs="Arial" w:eastAsia="Arial" w:hAnsi="Arial"/>
          <w:sz w:val="18"/>
          <w:szCs w:val="18"/>
          <w:color w:val="auto"/>
        </w:rPr>
        <w:t>The following tables provide detailed information about the Company's global commercial multiplex theater network by arrangement type and geographic location as of June 30,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0"/>
              </w:rPr>
              <w:t>June 30, 2022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440" w:type="dxa"/>
            <w:vAlign w:val="bottom"/>
            <w:tcBorders>
              <w:bottom w:val="single" w:sz="8" w:color="auto"/>
            </w:tcBorders>
            <w:gridSpan w:val="7"/>
          </w:tcPr>
          <w:p>
            <w:pPr>
              <w:jc w:val="center"/>
              <w:ind w:left="815"/>
              <w:spacing w:after="0"/>
              <w:rPr>
                <w:sz w:val="20"/>
                <w:szCs w:val="20"/>
                <w:color w:val="auto"/>
              </w:rPr>
            </w:pPr>
            <w:r>
              <w:rPr>
                <w:rFonts w:ascii="Arial" w:cs="Arial" w:eastAsia="Arial" w:hAnsi="Arial"/>
                <w:sz w:val="14"/>
                <w:szCs w:val="14"/>
                <w:b w:val="1"/>
                <w:bCs w:val="1"/>
                <w:color w:val="auto"/>
                <w:w w:val="97"/>
              </w:rPr>
              <w:t>Commercial Multiplex Theaters in IMAX Network</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3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Traditional</w:t>
            </w:r>
          </w:p>
        </w:tc>
        <w:tc>
          <w:tcPr>
            <w:tcW w:w="160" w:type="dxa"/>
            <w:vAlign w:val="bottom"/>
          </w:tcPr>
          <w:p>
            <w:pPr>
              <w:spacing w:after="0"/>
              <w:rPr>
                <w:sz w:val="11"/>
                <w:szCs w:val="11"/>
                <w:color w:val="auto"/>
              </w:rPr>
            </w:pPr>
          </w:p>
        </w:tc>
        <w:tc>
          <w:tcPr>
            <w:tcW w:w="12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Hybrid</w:t>
            </w:r>
          </w:p>
        </w:tc>
        <w:tc>
          <w:tcPr>
            <w:tcW w:w="140" w:type="dxa"/>
            <w:vAlign w:val="bottom"/>
          </w:tcPr>
          <w:p>
            <w:pPr>
              <w:spacing w:after="0"/>
              <w:rPr>
                <w:sz w:val="11"/>
                <w:szCs w:val="11"/>
                <w:color w:val="auto"/>
              </w:rPr>
            </w:pPr>
          </w:p>
        </w:tc>
        <w:tc>
          <w:tcPr>
            <w:tcW w:w="162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88"/>
              </w:rPr>
              <w:t>Sale / Sales-</w:t>
            </w: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JRSA</w:t>
            </w:r>
          </w:p>
        </w:tc>
        <w:tc>
          <w:tcPr>
            <w:tcW w:w="160" w:type="dxa"/>
            <w:vAlign w:val="bottom"/>
          </w:tcPr>
          <w:p>
            <w:pPr>
              <w:spacing w:after="0"/>
              <w:rPr>
                <w:sz w:val="16"/>
                <w:szCs w:val="16"/>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JRSA</w:t>
            </w:r>
          </w:p>
        </w:tc>
        <w:tc>
          <w:tcPr>
            <w:tcW w:w="140" w:type="dxa"/>
            <w:vAlign w:val="bottom"/>
          </w:tcPr>
          <w:p>
            <w:pPr>
              <w:spacing w:after="0"/>
              <w:rPr>
                <w:sz w:val="16"/>
                <w:szCs w:val="16"/>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type Lease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 Total (United States &amp; Canada)</w:t>
            </w:r>
          </w:p>
        </w:tc>
        <w:tc>
          <w:tcPr>
            <w:tcW w:w="1300" w:type="dxa"/>
            <w:vAlign w:val="bottom"/>
            <w:tcBorders>
              <w:top w:val="single" w:sz="8" w:color="auto"/>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277</w:t>
            </w:r>
          </w:p>
        </w:tc>
        <w:tc>
          <w:tcPr>
            <w:tcW w:w="1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120</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96"/>
        </w:trPr>
        <w:tc>
          <w:tcPr>
            <w:tcW w:w="57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Greater China</w:t>
            </w:r>
          </w:p>
        </w:tc>
        <w:tc>
          <w:tcPr>
            <w:tcW w:w="13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398</w:t>
            </w:r>
          </w:p>
        </w:tc>
        <w:tc>
          <w:tcPr>
            <w:tcW w:w="1380" w:type="dxa"/>
            <w:vAlign w:val="bottom"/>
            <w:gridSpan w:val="2"/>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112</w:t>
            </w:r>
          </w:p>
        </w:tc>
        <w:tc>
          <w:tcPr>
            <w:tcW w:w="1360" w:type="dxa"/>
            <w:vAlign w:val="bottom"/>
            <w:gridSpan w:val="2"/>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263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3"/>
        </w:trPr>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Asia (excluding Greater China)</w:t>
            </w:r>
          </w:p>
        </w:tc>
        <w:tc>
          <w:tcPr>
            <w:tcW w:w="13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34</w:t>
            </w:r>
          </w:p>
        </w:tc>
        <w:tc>
          <w:tcPr>
            <w:tcW w:w="1380" w:type="dxa"/>
            <w:vAlign w:val="bottom"/>
            <w:gridSpan w:val="2"/>
          </w:tcPr>
          <w:p>
            <w:pPr>
              <w:jc w:val="right"/>
              <w:ind w:right="37"/>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62"/>
        </w:trPr>
        <w:tc>
          <w:tcPr>
            <w:tcW w:w="578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Western Europe</w:t>
            </w:r>
          </w:p>
        </w:tc>
        <w:tc>
          <w:tcPr>
            <w:tcW w:w="1300" w:type="dxa"/>
            <w:vAlign w:val="bottom"/>
          </w:tcPr>
          <w:p>
            <w:pPr>
              <w:jc w:val="right"/>
              <w:ind w:right="55"/>
              <w:spacing w:after="0" w:line="162" w:lineRule="exact"/>
              <w:rPr>
                <w:sz w:val="20"/>
                <w:szCs w:val="20"/>
                <w:color w:val="auto"/>
              </w:rPr>
            </w:pPr>
            <w:r>
              <w:rPr>
                <w:rFonts w:ascii="Arial" w:cs="Arial" w:eastAsia="Arial" w:hAnsi="Arial"/>
                <w:sz w:val="18"/>
                <w:szCs w:val="18"/>
                <w:color w:val="auto"/>
              </w:rPr>
              <w:t>47</w:t>
            </w:r>
          </w:p>
        </w:tc>
        <w:tc>
          <w:tcPr>
            <w:tcW w:w="1380" w:type="dxa"/>
            <w:vAlign w:val="bottom"/>
            <w:gridSpan w:val="2"/>
          </w:tcPr>
          <w:p>
            <w:pPr>
              <w:jc w:val="right"/>
              <w:ind w:right="37"/>
              <w:spacing w:after="0" w:line="162" w:lineRule="exact"/>
              <w:rPr>
                <w:sz w:val="20"/>
                <w:szCs w:val="20"/>
                <w:color w:val="auto"/>
              </w:rPr>
            </w:pPr>
            <w:r>
              <w:rPr>
                <w:rFonts w:ascii="Arial" w:cs="Arial" w:eastAsia="Arial" w:hAnsi="Arial"/>
                <w:sz w:val="18"/>
                <w:szCs w:val="18"/>
                <w:color w:val="auto"/>
              </w:rPr>
              <w:t>28</w:t>
            </w:r>
          </w:p>
        </w:tc>
        <w:tc>
          <w:tcPr>
            <w:tcW w:w="1360" w:type="dxa"/>
            <w:vAlign w:val="bottom"/>
            <w:gridSpan w:val="2"/>
          </w:tcPr>
          <w:p>
            <w:pPr>
              <w:jc w:val="right"/>
              <w:ind w:right="38"/>
              <w:spacing w:after="0" w:line="162" w:lineRule="exact"/>
              <w:rPr>
                <w:sz w:val="20"/>
                <w:szCs w:val="20"/>
                <w:color w:val="auto"/>
              </w:rPr>
            </w:pPr>
            <w:r>
              <w:rPr>
                <w:rFonts w:ascii="Arial" w:cs="Arial" w:eastAsia="Arial" w:hAnsi="Arial"/>
                <w:sz w:val="18"/>
                <w:szCs w:val="18"/>
                <w:color w:val="auto"/>
              </w:rPr>
              <w:t>40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2"/>
              <w:spacing w:after="0" w:line="16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Russia/the CIS &amp; Ukraine</w:t>
            </w:r>
            <w:r>
              <w:rPr>
                <w:rFonts w:ascii="Arial" w:cs="Arial" w:eastAsia="Arial" w:hAnsi="Arial"/>
                <w:sz w:val="24"/>
                <w:szCs w:val="24"/>
                <w:color w:val="auto"/>
                <w:vertAlign w:val="superscript"/>
              </w:rPr>
              <w:t>(1)</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Latin America</w:t>
            </w:r>
          </w:p>
        </w:tc>
        <w:tc>
          <w:tcPr>
            <w:tcW w:w="13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Rest of the World</w:t>
            </w:r>
          </w:p>
        </w:tc>
        <w:tc>
          <w:tcPr>
            <w:tcW w:w="13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12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55"/>
        </w:trPr>
        <w:tc>
          <w:tcPr>
            <w:tcW w:w="578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International Total</w:t>
            </w:r>
          </w:p>
        </w:tc>
        <w:tc>
          <w:tcPr>
            <w:tcW w:w="1300" w:type="dxa"/>
            <w:vAlign w:val="bottom"/>
            <w:tcBorders>
              <w:top w:val="single" w:sz="8" w:color="auto"/>
            </w:tcBorders>
          </w:tcPr>
          <w:p>
            <w:pPr>
              <w:jc w:val="right"/>
              <w:ind w:right="55"/>
              <w:spacing w:after="0" w:line="156" w:lineRule="exact"/>
              <w:rPr>
                <w:sz w:val="20"/>
                <w:szCs w:val="20"/>
                <w:color w:val="auto"/>
              </w:rPr>
            </w:pPr>
            <w:r>
              <w:rPr>
                <w:rFonts w:ascii="Arial" w:cs="Arial" w:eastAsia="Arial" w:hAnsi="Arial"/>
                <w:sz w:val="18"/>
                <w:szCs w:val="18"/>
                <w:color w:val="auto"/>
              </w:rPr>
              <w:t>497</w:t>
            </w:r>
          </w:p>
        </w:tc>
        <w:tc>
          <w:tcPr>
            <w:tcW w:w="160" w:type="dxa"/>
            <w:vAlign w:val="bottom"/>
          </w:tcPr>
          <w:p>
            <w:pPr>
              <w:spacing w:after="0"/>
              <w:rPr>
                <w:sz w:val="13"/>
                <w:szCs w:val="13"/>
                <w:color w:val="auto"/>
              </w:rPr>
            </w:pPr>
          </w:p>
        </w:tc>
        <w:tc>
          <w:tcPr>
            <w:tcW w:w="1220" w:type="dxa"/>
            <w:vAlign w:val="bottom"/>
            <w:tcBorders>
              <w:top w:val="single" w:sz="8" w:color="auto"/>
            </w:tcBorders>
          </w:tcPr>
          <w:p>
            <w:pPr>
              <w:jc w:val="right"/>
              <w:ind w:right="37"/>
              <w:spacing w:after="0" w:line="156" w:lineRule="exact"/>
              <w:rPr>
                <w:sz w:val="20"/>
                <w:szCs w:val="20"/>
                <w:color w:val="auto"/>
              </w:rPr>
            </w:pPr>
            <w:r>
              <w:rPr>
                <w:rFonts w:ascii="Arial" w:cs="Arial" w:eastAsia="Arial" w:hAnsi="Arial"/>
                <w:sz w:val="18"/>
                <w:szCs w:val="18"/>
                <w:color w:val="auto"/>
              </w:rPr>
              <w:t>143</w:t>
            </w:r>
          </w:p>
        </w:tc>
        <w:tc>
          <w:tcPr>
            <w:tcW w:w="140" w:type="dxa"/>
            <w:vAlign w:val="bottom"/>
          </w:tcPr>
          <w:p>
            <w:pPr>
              <w:spacing w:after="0"/>
              <w:rPr>
                <w:sz w:val="13"/>
                <w:szCs w:val="13"/>
                <w:color w:val="auto"/>
              </w:rPr>
            </w:pPr>
          </w:p>
        </w:tc>
        <w:tc>
          <w:tcPr>
            <w:tcW w:w="1220" w:type="dxa"/>
            <w:vAlign w:val="bottom"/>
            <w:tcBorders>
              <w:top w:val="single" w:sz="8" w:color="auto"/>
            </w:tcBorders>
          </w:tcPr>
          <w:p>
            <w:pPr>
              <w:jc w:val="right"/>
              <w:ind w:right="38"/>
              <w:spacing w:after="0" w:line="156" w:lineRule="exact"/>
              <w:rPr>
                <w:sz w:val="20"/>
                <w:szCs w:val="20"/>
                <w:color w:val="auto"/>
              </w:rPr>
            </w:pPr>
            <w:r>
              <w:rPr>
                <w:rFonts w:ascii="Arial" w:cs="Arial" w:eastAsia="Arial" w:hAnsi="Arial"/>
                <w:sz w:val="18"/>
                <w:szCs w:val="18"/>
                <w:color w:val="auto"/>
              </w:rPr>
              <w:t>567</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2"/>
              <w:spacing w:after="0" w:line="156" w:lineRule="exact"/>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41"/>
        </w:trPr>
        <w:tc>
          <w:tcPr>
            <w:tcW w:w="5780" w:type="dxa"/>
            <w:vAlign w:val="bottom"/>
            <w:gridSpan w:val="2"/>
            <w:vMerge w:val="restart"/>
          </w:tcPr>
          <w:p>
            <w:pPr>
              <w:ind w:left="20"/>
              <w:spacing w:after="0" w:line="257" w:lineRule="exact"/>
              <w:rPr>
                <w:sz w:val="20"/>
                <w:szCs w:val="20"/>
                <w:color w:val="auto"/>
              </w:rPr>
            </w:pPr>
            <w:r>
              <w:rPr>
                <w:rFonts w:ascii="Arial" w:cs="Arial" w:eastAsia="Arial" w:hAnsi="Arial"/>
                <w:sz w:val="18"/>
                <w:szCs w:val="18"/>
                <w:color w:val="auto"/>
              </w:rPr>
              <w:t>Worldwide Total</w:t>
            </w:r>
            <w:r>
              <w:rPr>
                <w:rFonts w:ascii="Arial" w:cs="Arial" w:eastAsia="Arial" w:hAnsi="Arial"/>
                <w:sz w:val="24"/>
                <w:szCs w:val="24"/>
                <w:color w:val="auto"/>
                <w:vertAlign w:val="superscript"/>
              </w:rPr>
              <w:t>(2)</w:t>
            </w:r>
          </w:p>
        </w:tc>
        <w:tc>
          <w:tcPr>
            <w:tcW w:w="130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130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774</w:t>
            </w:r>
          </w:p>
        </w:tc>
        <w:tc>
          <w:tcPr>
            <w:tcW w:w="16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149</w:t>
            </w:r>
          </w:p>
        </w:tc>
        <w:tc>
          <w:tcPr>
            <w:tcW w:w="1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687</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0"/>
              </w:rPr>
              <w:t>June 30, 2021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440" w:type="dxa"/>
            <w:vAlign w:val="bottom"/>
            <w:tcBorders>
              <w:bottom w:val="single" w:sz="8" w:color="auto"/>
            </w:tcBorders>
            <w:gridSpan w:val="7"/>
          </w:tcPr>
          <w:p>
            <w:pPr>
              <w:jc w:val="center"/>
              <w:ind w:left="815"/>
              <w:spacing w:after="0"/>
              <w:rPr>
                <w:sz w:val="20"/>
                <w:szCs w:val="20"/>
                <w:color w:val="auto"/>
              </w:rPr>
            </w:pPr>
            <w:r>
              <w:rPr>
                <w:rFonts w:ascii="Arial" w:cs="Arial" w:eastAsia="Arial" w:hAnsi="Arial"/>
                <w:sz w:val="14"/>
                <w:szCs w:val="14"/>
                <w:b w:val="1"/>
                <w:bCs w:val="1"/>
                <w:color w:val="auto"/>
                <w:w w:val="97"/>
              </w:rPr>
              <w:t>Commercial Multiplex Theaters in IMAX Network</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3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Traditional</w:t>
            </w:r>
          </w:p>
        </w:tc>
        <w:tc>
          <w:tcPr>
            <w:tcW w:w="160" w:type="dxa"/>
            <w:vAlign w:val="bottom"/>
          </w:tcPr>
          <w:p>
            <w:pPr>
              <w:spacing w:after="0"/>
              <w:rPr>
                <w:sz w:val="11"/>
                <w:szCs w:val="11"/>
                <w:color w:val="auto"/>
              </w:rPr>
            </w:pPr>
          </w:p>
        </w:tc>
        <w:tc>
          <w:tcPr>
            <w:tcW w:w="12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Hybrid</w:t>
            </w:r>
          </w:p>
        </w:tc>
        <w:tc>
          <w:tcPr>
            <w:tcW w:w="140" w:type="dxa"/>
            <w:vAlign w:val="bottom"/>
          </w:tcPr>
          <w:p>
            <w:pPr>
              <w:spacing w:after="0"/>
              <w:rPr>
                <w:sz w:val="11"/>
                <w:szCs w:val="11"/>
                <w:color w:val="auto"/>
              </w:rPr>
            </w:pPr>
          </w:p>
        </w:tc>
        <w:tc>
          <w:tcPr>
            <w:tcW w:w="162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88"/>
              </w:rPr>
              <w:t>Sale / Sales-</w:t>
            </w: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JRSA</w:t>
            </w:r>
          </w:p>
        </w:tc>
        <w:tc>
          <w:tcPr>
            <w:tcW w:w="160" w:type="dxa"/>
            <w:vAlign w:val="bottom"/>
          </w:tcPr>
          <w:p>
            <w:pPr>
              <w:spacing w:after="0"/>
              <w:rPr>
                <w:sz w:val="16"/>
                <w:szCs w:val="16"/>
                <w:color w:val="auto"/>
              </w:rPr>
            </w:pPr>
          </w:p>
        </w:tc>
        <w:tc>
          <w:tcPr>
            <w:tcW w:w="12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JRSA</w:t>
            </w: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type Lease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30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273</w:t>
            </w:r>
          </w:p>
        </w:tc>
        <w:tc>
          <w:tcPr>
            <w:tcW w:w="1380" w:type="dxa"/>
            <w:vAlign w:val="bottom"/>
            <w:gridSpan w:val="2"/>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5</w:t>
            </w:r>
          </w:p>
        </w:tc>
        <w:tc>
          <w:tcPr>
            <w:tcW w:w="1360" w:type="dxa"/>
            <w:vAlign w:val="bottom"/>
            <w:gridSpan w:val="2"/>
            <w:vMerge w:val="restart"/>
            <w:shd w:val="clear" w:color="auto" w:fill="CFF0FC"/>
          </w:tcPr>
          <w:p>
            <w:pPr>
              <w:jc w:val="right"/>
              <w:ind w:right="38"/>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12"/>
                <w:szCs w:val="12"/>
                <w:color w:val="auto"/>
              </w:rPr>
            </w:pPr>
          </w:p>
        </w:tc>
        <w:tc>
          <w:tcPr>
            <w:tcW w:w="4280" w:type="dxa"/>
            <w:vAlign w:val="bottom"/>
            <w:shd w:val="clear" w:color="auto" w:fill="CFF0FC"/>
          </w:tcPr>
          <w:p>
            <w:pPr>
              <w:spacing w:after="0"/>
              <w:rPr>
                <w:sz w:val="12"/>
                <w:szCs w:val="12"/>
                <w:color w:val="auto"/>
              </w:rPr>
            </w:pPr>
          </w:p>
        </w:tc>
        <w:tc>
          <w:tcPr>
            <w:tcW w:w="1300" w:type="dxa"/>
            <w:vAlign w:val="bottom"/>
            <w:vMerge w:val="continue"/>
            <w:shd w:val="clear" w:color="auto" w:fill="CFF0FC"/>
          </w:tcPr>
          <w:p>
            <w:pPr>
              <w:spacing w:after="0"/>
              <w:rPr>
                <w:sz w:val="12"/>
                <w:szCs w:val="12"/>
                <w:color w:val="auto"/>
              </w:rPr>
            </w:pPr>
          </w:p>
        </w:tc>
        <w:tc>
          <w:tcPr>
            <w:tcW w:w="1380" w:type="dxa"/>
            <w:vAlign w:val="bottom"/>
            <w:gridSpan w:val="2"/>
            <w:vMerge w:val="continue"/>
            <w:shd w:val="clear" w:color="auto" w:fill="CFF0FC"/>
          </w:tcPr>
          <w:p>
            <w:pPr>
              <w:spacing w:after="0"/>
              <w:rPr>
                <w:sz w:val="12"/>
                <w:szCs w:val="12"/>
                <w:color w:val="auto"/>
              </w:rPr>
            </w:pPr>
          </w:p>
        </w:tc>
        <w:tc>
          <w:tcPr>
            <w:tcW w:w="13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International:</w:t>
            </w: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30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384</w:t>
            </w:r>
          </w:p>
        </w:tc>
        <w:tc>
          <w:tcPr>
            <w:tcW w:w="1380" w:type="dxa"/>
            <w:vAlign w:val="bottom"/>
            <w:gridSpan w:val="2"/>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108</w:t>
            </w:r>
          </w:p>
        </w:tc>
        <w:tc>
          <w:tcPr>
            <w:tcW w:w="1360" w:type="dxa"/>
            <w:vAlign w:val="bottom"/>
            <w:gridSpan w:val="2"/>
            <w:vMerge w:val="restart"/>
            <w:shd w:val="clear" w:color="auto" w:fill="CFF0FC"/>
          </w:tcPr>
          <w:p>
            <w:pPr>
              <w:jc w:val="right"/>
              <w:ind w:right="38"/>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12"/>
                <w:szCs w:val="12"/>
                <w:color w:val="auto"/>
              </w:rPr>
            </w:pPr>
          </w:p>
        </w:tc>
        <w:tc>
          <w:tcPr>
            <w:tcW w:w="4280" w:type="dxa"/>
            <w:vAlign w:val="bottom"/>
            <w:shd w:val="clear" w:color="auto" w:fill="CFF0FC"/>
          </w:tcPr>
          <w:p>
            <w:pPr>
              <w:spacing w:after="0"/>
              <w:rPr>
                <w:sz w:val="12"/>
                <w:szCs w:val="12"/>
                <w:color w:val="auto"/>
              </w:rPr>
            </w:pPr>
          </w:p>
        </w:tc>
        <w:tc>
          <w:tcPr>
            <w:tcW w:w="1300" w:type="dxa"/>
            <w:vAlign w:val="bottom"/>
            <w:vMerge w:val="continue"/>
            <w:shd w:val="clear" w:color="auto" w:fill="CFF0FC"/>
          </w:tcPr>
          <w:p>
            <w:pPr>
              <w:spacing w:after="0"/>
              <w:rPr>
                <w:sz w:val="12"/>
                <w:szCs w:val="12"/>
                <w:color w:val="auto"/>
              </w:rPr>
            </w:pPr>
          </w:p>
        </w:tc>
        <w:tc>
          <w:tcPr>
            <w:tcW w:w="1380" w:type="dxa"/>
            <w:vAlign w:val="bottom"/>
            <w:gridSpan w:val="2"/>
            <w:vMerge w:val="continue"/>
            <w:shd w:val="clear" w:color="auto" w:fill="CFF0FC"/>
          </w:tcPr>
          <w:p>
            <w:pPr>
              <w:spacing w:after="0"/>
              <w:rPr>
                <w:sz w:val="12"/>
                <w:szCs w:val="12"/>
                <w:color w:val="auto"/>
              </w:rPr>
            </w:pPr>
          </w:p>
        </w:tc>
        <w:tc>
          <w:tcPr>
            <w:tcW w:w="13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33</w:t>
            </w:r>
          </w:p>
        </w:tc>
        <w:tc>
          <w:tcPr>
            <w:tcW w:w="1380" w:type="dxa"/>
            <w:vAlign w:val="bottom"/>
            <w:gridSpan w:val="2"/>
            <w:vMerge w:val="restart"/>
          </w:tcPr>
          <w:p>
            <w:pPr>
              <w:jc w:val="right"/>
              <w:ind w:right="37"/>
              <w:spacing w:after="0"/>
              <w:rPr>
                <w:sz w:val="20"/>
                <w:szCs w:val="20"/>
                <w:color w:val="auto"/>
              </w:rPr>
            </w:pPr>
            <w:r>
              <w:rPr>
                <w:rFonts w:ascii="Arial" w:cs="Arial" w:eastAsia="Arial" w:hAnsi="Arial"/>
                <w:sz w:val="18"/>
                <w:szCs w:val="18"/>
                <w:color w:val="auto"/>
              </w:rPr>
              <w:t>2</w:t>
            </w:r>
          </w:p>
        </w:tc>
        <w:tc>
          <w:tcPr>
            <w:tcW w:w="136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48"/>
        </w:trPr>
        <w:tc>
          <w:tcPr>
            <w:tcW w:w="5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Western Europe</w:t>
            </w:r>
          </w:p>
        </w:tc>
        <w:tc>
          <w:tcPr>
            <w:tcW w:w="130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gridSpan w:val="2"/>
            <w:vMerge w:val="continue"/>
          </w:tcPr>
          <w:p>
            <w:pPr>
              <w:spacing w:after="0"/>
              <w:rPr>
                <w:sz w:val="18"/>
                <w:szCs w:val="18"/>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47</w:t>
            </w:r>
          </w:p>
        </w:tc>
        <w:tc>
          <w:tcPr>
            <w:tcW w:w="1380" w:type="dxa"/>
            <w:vAlign w:val="bottom"/>
            <w:gridSpan w:val="2"/>
            <w:vMerge w:val="restart"/>
          </w:tcPr>
          <w:p>
            <w:pPr>
              <w:jc w:val="right"/>
              <w:ind w:right="37"/>
              <w:spacing w:after="0"/>
              <w:rPr>
                <w:sz w:val="20"/>
                <w:szCs w:val="20"/>
                <w:color w:val="auto"/>
              </w:rPr>
            </w:pPr>
            <w:r>
              <w:rPr>
                <w:rFonts w:ascii="Arial" w:cs="Arial" w:eastAsia="Arial" w:hAnsi="Arial"/>
                <w:sz w:val="18"/>
                <w:szCs w:val="18"/>
                <w:color w:val="auto"/>
              </w:rPr>
              <w:t>28</w:t>
            </w:r>
          </w:p>
        </w:tc>
        <w:tc>
          <w:tcPr>
            <w:tcW w:w="136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2"/>
        </w:trPr>
        <w:tc>
          <w:tcPr>
            <w:tcW w:w="5780" w:type="dxa"/>
            <w:vAlign w:val="bottom"/>
            <w:gridSpan w:val="2"/>
            <w:vMerge w:val="restart"/>
          </w:tcPr>
          <w:p>
            <w:pPr>
              <w:ind w:left="200"/>
              <w:spacing w:after="0"/>
              <w:rPr>
                <w:sz w:val="20"/>
                <w:szCs w:val="20"/>
                <w:color w:val="auto"/>
              </w:rPr>
            </w:pPr>
            <w:r>
              <w:rPr>
                <w:rFonts w:ascii="Arial" w:cs="Arial" w:eastAsia="Arial" w:hAnsi="Arial"/>
                <w:sz w:val="18"/>
                <w:szCs w:val="18"/>
                <w:color w:val="auto"/>
              </w:rPr>
              <w:t>Russia/the CIS &amp; Ukraine</w:t>
            </w:r>
            <w:r>
              <w:rPr>
                <w:rFonts w:ascii="Arial" w:cs="Arial" w:eastAsia="Arial" w:hAnsi="Arial"/>
                <w:sz w:val="24"/>
                <w:szCs w:val="24"/>
                <w:color w:val="auto"/>
                <w:vertAlign w:val="superscript"/>
              </w:rPr>
              <w:t>(1)</w:t>
            </w:r>
          </w:p>
        </w:tc>
        <w:tc>
          <w:tcPr>
            <w:tcW w:w="130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780" w:type="dxa"/>
            <w:vAlign w:val="bottom"/>
            <w:gridSpan w:val="2"/>
            <w:vMerge w:val="continue"/>
          </w:tcPr>
          <w:p>
            <w:pPr>
              <w:spacing w:after="0"/>
              <w:rPr>
                <w:sz w:val="23"/>
                <w:szCs w:val="23"/>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13"/>
        </w:trPr>
        <w:tc>
          <w:tcPr>
            <w:tcW w:w="15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Latin America</w:t>
            </w:r>
          </w:p>
        </w:tc>
        <w:tc>
          <w:tcPr>
            <w:tcW w:w="130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22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FF0FC"/>
          </w:tcPr>
          <w:p>
            <w:pPr>
              <w:jc w:val="right"/>
              <w:ind w:right="38"/>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12"/>
                <w:szCs w:val="12"/>
                <w:color w:val="auto"/>
              </w:rPr>
            </w:pPr>
          </w:p>
        </w:tc>
        <w:tc>
          <w:tcPr>
            <w:tcW w:w="4280" w:type="dxa"/>
            <w:vAlign w:val="bottom"/>
            <w:shd w:val="clear" w:color="auto" w:fill="CFF0FC"/>
          </w:tcPr>
          <w:p>
            <w:pPr>
              <w:spacing w:after="0"/>
              <w:rPr>
                <w:sz w:val="12"/>
                <w:szCs w:val="12"/>
                <w:color w:val="auto"/>
              </w:rPr>
            </w:pPr>
          </w:p>
        </w:tc>
        <w:tc>
          <w:tcPr>
            <w:tcW w:w="130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vMerge w:val="continue"/>
            <w:shd w:val="clear" w:color="auto" w:fill="CFF0FC"/>
          </w:tcPr>
          <w:p>
            <w:pPr>
              <w:spacing w:after="0"/>
              <w:rPr>
                <w:sz w:val="12"/>
                <w:szCs w:val="12"/>
                <w:color w:val="auto"/>
              </w:rPr>
            </w:pPr>
          </w:p>
        </w:tc>
        <w:tc>
          <w:tcPr>
            <w:tcW w:w="13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Rest of the World</w:t>
            </w: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122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20"/>
                <w:szCs w:val="20"/>
                <w:color w:val="auto"/>
              </w:rPr>
            </w:pPr>
          </w:p>
        </w:tc>
        <w:tc>
          <w:tcPr>
            <w:tcW w:w="1220" w:type="dxa"/>
            <w:vAlign w:val="bottom"/>
            <w:vMerge w:val="restart"/>
          </w:tcPr>
          <w:p>
            <w:pPr>
              <w:jc w:val="right"/>
              <w:ind w:right="38"/>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48"/>
        </w:trPr>
        <w:tc>
          <w:tcPr>
            <w:tcW w:w="5780" w:type="dxa"/>
            <w:vAlign w:val="bottom"/>
            <w:gridSpan w:val="2"/>
            <w:vMerge w:val="restart"/>
          </w:tcPr>
          <w:p>
            <w:pPr>
              <w:ind w:left="20"/>
              <w:spacing w:after="0"/>
              <w:rPr>
                <w:sz w:val="20"/>
                <w:szCs w:val="20"/>
                <w:color w:val="auto"/>
              </w:rPr>
            </w:pPr>
            <w:r>
              <w:rPr>
                <w:rFonts w:ascii="Arial" w:cs="Arial" w:eastAsia="Arial" w:hAnsi="Arial"/>
                <w:sz w:val="18"/>
                <w:szCs w:val="18"/>
                <w:color w:val="auto"/>
              </w:rPr>
              <w:t>International Total</w:t>
            </w:r>
          </w:p>
        </w:tc>
        <w:tc>
          <w:tcPr>
            <w:tcW w:w="13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481</w:t>
            </w:r>
          </w:p>
        </w:tc>
        <w:tc>
          <w:tcPr>
            <w:tcW w:w="160" w:type="dxa"/>
            <w:vAlign w:val="bottom"/>
            <w:vMerge w:val="restart"/>
          </w:tcPr>
          <w:p>
            <w:pPr>
              <w:spacing w:after="0"/>
              <w:rPr>
                <w:sz w:val="18"/>
                <w:szCs w:val="18"/>
                <w:color w:val="auto"/>
              </w:rPr>
            </w:pPr>
          </w:p>
        </w:tc>
        <w:tc>
          <w:tcPr>
            <w:tcW w:w="1220" w:type="dxa"/>
            <w:vAlign w:val="bottom"/>
            <w:vMerge w:val="restart"/>
          </w:tcPr>
          <w:p>
            <w:pPr>
              <w:jc w:val="right"/>
              <w:ind w:right="37"/>
              <w:spacing w:after="0"/>
              <w:rPr>
                <w:sz w:val="20"/>
                <w:szCs w:val="20"/>
                <w:color w:val="auto"/>
              </w:rPr>
            </w:pPr>
            <w:r>
              <w:rPr>
                <w:rFonts w:ascii="Arial" w:cs="Arial" w:eastAsia="Arial" w:hAnsi="Arial"/>
                <w:sz w:val="18"/>
                <w:szCs w:val="18"/>
                <w:color w:val="auto"/>
              </w:rPr>
              <w:t>138</w:t>
            </w:r>
          </w:p>
        </w:tc>
        <w:tc>
          <w:tcPr>
            <w:tcW w:w="140" w:type="dxa"/>
            <w:vAlign w:val="bottom"/>
            <w:vMerge w:val="restart"/>
          </w:tcPr>
          <w:p>
            <w:pPr>
              <w:spacing w:after="0"/>
              <w:rPr>
                <w:sz w:val="18"/>
                <w:szCs w:val="18"/>
                <w:color w:val="auto"/>
              </w:rPr>
            </w:pPr>
          </w:p>
        </w:tc>
        <w:tc>
          <w:tcPr>
            <w:tcW w:w="1220" w:type="dxa"/>
            <w:vAlign w:val="bottom"/>
            <w:vMerge w:val="restart"/>
          </w:tcPr>
          <w:p>
            <w:pPr>
              <w:jc w:val="right"/>
              <w:ind w:right="38"/>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162"/>
        </w:trPr>
        <w:tc>
          <w:tcPr>
            <w:tcW w:w="5780" w:type="dxa"/>
            <w:vAlign w:val="bottom"/>
            <w:gridSpan w:val="2"/>
            <w:vMerge w:val="restart"/>
          </w:tcPr>
          <w:p>
            <w:pPr>
              <w:ind w:left="20"/>
              <w:spacing w:after="0"/>
              <w:rPr>
                <w:sz w:val="20"/>
                <w:szCs w:val="20"/>
                <w:color w:val="auto"/>
              </w:rPr>
            </w:pPr>
            <w:r>
              <w:rPr>
                <w:rFonts w:ascii="Arial" w:cs="Arial" w:eastAsia="Arial" w:hAnsi="Arial"/>
                <w:sz w:val="18"/>
                <w:szCs w:val="18"/>
                <w:color w:val="auto"/>
              </w:rPr>
              <w:t>Worldwide Total</w:t>
            </w:r>
            <w:r>
              <w:rPr>
                <w:rFonts w:ascii="Arial" w:cs="Arial" w:eastAsia="Arial" w:hAnsi="Arial"/>
                <w:sz w:val="24"/>
                <w:szCs w:val="24"/>
                <w:color w:val="auto"/>
                <w:vertAlign w:val="superscript"/>
              </w:rPr>
              <w:t>(2)</w:t>
            </w: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80" w:type="dxa"/>
            <w:vAlign w:val="bottom"/>
            <w:gridSpan w:val="2"/>
            <w:vMerge w:val="continue"/>
          </w:tcPr>
          <w:p>
            <w:pPr>
              <w:spacing w:after="0"/>
              <w:rPr>
                <w:sz w:val="21"/>
                <w:szCs w:val="21"/>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754</w:t>
            </w:r>
          </w:p>
        </w:tc>
        <w:tc>
          <w:tcPr>
            <w:tcW w:w="1380" w:type="dxa"/>
            <w:vAlign w:val="bottom"/>
            <w:gridSpan w:val="2"/>
            <w:vMerge w:val="restart"/>
          </w:tcPr>
          <w:p>
            <w:pPr>
              <w:jc w:val="right"/>
              <w:ind w:right="37"/>
              <w:spacing w:after="0"/>
              <w:rPr>
                <w:sz w:val="20"/>
                <w:szCs w:val="20"/>
                <w:color w:val="auto"/>
              </w:rPr>
            </w:pPr>
            <w:r>
              <w:rPr>
                <w:rFonts w:ascii="Arial" w:cs="Arial" w:eastAsia="Arial" w:hAnsi="Arial"/>
                <w:sz w:val="18"/>
                <w:szCs w:val="18"/>
                <w:color w:val="auto"/>
              </w:rPr>
              <w:t>143</w:t>
            </w:r>
          </w:p>
        </w:tc>
        <w:tc>
          <w:tcPr>
            <w:tcW w:w="136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127"/>
        </w:trPr>
        <w:tc>
          <w:tcPr>
            <w:tcW w:w="1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-4291330</wp:posOffset>
            </wp:positionV>
            <wp:extent cx="9461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-4291330</wp:posOffset>
            </wp:positionV>
            <wp:extent cx="8572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-4291330</wp:posOffset>
            </wp:positionV>
            <wp:extent cx="11176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7132320" cy="1289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7132320" cy="1289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-2242185</wp:posOffset>
            </wp:positionV>
            <wp:extent cx="94615"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-2242185</wp:posOffset>
            </wp:positionV>
            <wp:extent cx="85725"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-2242185</wp:posOffset>
            </wp:positionV>
            <wp:extent cx="111760"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2400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24003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48"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addition to Russia, the CIS includes Azerbaijan, Belarus, Kazakhstan, and Kyrgyzstan. In March 2022, in response to the ongoing conflict between Russia and Ukraine and resulting sanctions, the Company suspended its operations in Russia and Belarus. As of June 30, 2022, the IMAX network includes 54 theaters in Russia, nine theaters in Ukraine, and one theater in Belarus.</w:t>
      </w:r>
    </w:p>
    <w:p>
      <w:pPr>
        <w:spacing w:after="0" w:line="141"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Backlog</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backlog as of 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0"/>
        </w:trPr>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3"/>
          </w:tcPr>
          <w:p>
            <w:pPr>
              <w:jc w:val="center"/>
              <w:ind w:left="248"/>
              <w:spacing w:after="0" w:line="160" w:lineRule="exact"/>
              <w:rPr>
                <w:sz w:val="20"/>
                <w:szCs w:val="20"/>
                <w:color w:val="auto"/>
              </w:rPr>
            </w:pPr>
            <w:r>
              <w:rPr>
                <w:rFonts w:ascii="Arial" w:cs="Arial" w:eastAsia="Arial" w:hAnsi="Arial"/>
                <w:sz w:val="14"/>
                <w:szCs w:val="14"/>
                <w:b w:val="1"/>
                <w:bCs w:val="1"/>
                <w:color w:val="auto"/>
                <w:w w:val="93"/>
              </w:rPr>
              <w:t>Dollar Value</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4"/>
          </w:tcPr>
          <w:p>
            <w:pPr>
              <w:jc w:val="center"/>
              <w:ind w:left="248"/>
              <w:spacing w:after="0" w:line="160"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right"/>
              <w:ind w:right="48"/>
              <w:spacing w:after="0" w:line="160" w:lineRule="exact"/>
              <w:rPr>
                <w:sz w:val="20"/>
                <w:szCs w:val="20"/>
                <w:color w:val="auto"/>
              </w:rPr>
            </w:pPr>
            <w:r>
              <w:rPr>
                <w:rFonts w:ascii="Arial" w:cs="Arial" w:eastAsia="Arial" w:hAnsi="Arial"/>
                <w:sz w:val="14"/>
                <w:szCs w:val="14"/>
                <w:b w:val="1"/>
                <w:bCs w:val="1"/>
                <w:color w:val="auto"/>
              </w:rPr>
              <w:t>Dollar Value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5"/>
        </w:trPr>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86"/>
              </w:rPr>
              <w:t>Systems</w:t>
            </w: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i w:val="1"/>
                <w:iCs w:val="1"/>
                <w:color w:val="auto"/>
                <w:w w:val="89"/>
              </w:rPr>
              <w:t>(in thousands)</w:t>
            </w: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68"/>
              <w:spacing w:after="0"/>
              <w:rPr>
                <w:sz w:val="20"/>
                <w:szCs w:val="20"/>
                <w:color w:val="auto"/>
              </w:rPr>
            </w:pPr>
            <w:r>
              <w:rPr>
                <w:rFonts w:ascii="Arial" w:cs="Arial" w:eastAsia="Arial" w:hAnsi="Arial"/>
                <w:sz w:val="14"/>
                <w:szCs w:val="14"/>
                <w:b w:val="1"/>
                <w:bCs w:val="1"/>
                <w:color w:val="auto"/>
                <w:w w:val="86"/>
              </w:rPr>
              <w:t>Systems</w:t>
            </w: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New</w:t>
            </w:r>
          </w:p>
        </w:tc>
        <w:tc>
          <w:tcPr>
            <w:tcW w:w="1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Upgrade</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New</w:t>
            </w:r>
          </w:p>
        </w:tc>
        <w:tc>
          <w:tcPr>
            <w:tcW w:w="3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Upgrade</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New</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Upgrade</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New</w:t>
            </w:r>
          </w:p>
        </w:tc>
        <w:tc>
          <w:tcPr>
            <w:tcW w:w="30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Upgrade</w:t>
            </w:r>
          </w:p>
        </w:tc>
        <w:tc>
          <w:tcPr>
            <w:tcW w:w="180" w:type="dxa"/>
            <w:vAlign w:val="bottom"/>
          </w:tcPr>
          <w:p>
            <w:pPr>
              <w:spacing w:after="0"/>
              <w:rPr>
                <w:sz w:val="14"/>
                <w:szCs w:val="14"/>
                <w:color w:val="auto"/>
              </w:rPr>
            </w:pPr>
          </w:p>
        </w:tc>
      </w:tr>
      <w:tr>
        <w:trPr>
          <w:trHeight w:val="137"/>
        </w:trPr>
        <w:tc>
          <w:tcPr>
            <w:tcW w:w="2240" w:type="dxa"/>
            <w:vAlign w:val="bottom"/>
            <w:gridSpan w:val="2"/>
            <w:shd w:val="clear" w:color="auto" w:fill="CFF0FC"/>
          </w:tcPr>
          <w:p>
            <w:pPr>
              <w:ind w:left="20"/>
              <w:spacing w:after="0" w:line="137" w:lineRule="exact"/>
              <w:rPr>
                <w:sz w:val="20"/>
                <w:szCs w:val="20"/>
                <w:color w:val="auto"/>
              </w:rPr>
            </w:pPr>
            <w:r>
              <w:rPr>
                <w:rFonts w:ascii="Arial" w:cs="Arial" w:eastAsia="Arial" w:hAnsi="Arial"/>
                <w:sz w:val="14"/>
                <w:szCs w:val="14"/>
                <w:color w:val="auto"/>
              </w:rPr>
              <w:t>Sale and sales-type lease</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81"/>
        </w:trPr>
        <w:tc>
          <w:tcPr>
            <w:tcW w:w="22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arrangements</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183,118</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11,402</w:t>
            </w:r>
          </w:p>
        </w:tc>
        <w:tc>
          <w:tcPr>
            <w:tcW w:w="3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198,192</w:t>
            </w: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7"/>
              </w:rPr>
              <w:t>13,184</w:t>
            </w:r>
          </w:p>
        </w:tc>
        <w:tc>
          <w:tcPr>
            <w:tcW w:w="180" w:type="dxa"/>
            <w:vAlign w:val="bottom"/>
            <w:shd w:val="clear" w:color="auto" w:fill="CFF0FC"/>
          </w:tcPr>
          <w:p>
            <w:pPr>
              <w:spacing w:after="0"/>
              <w:rPr>
                <w:sz w:val="15"/>
                <w:szCs w:val="15"/>
                <w:color w:val="auto"/>
              </w:rPr>
            </w:pPr>
          </w:p>
        </w:tc>
      </w:tr>
      <w:tr>
        <w:trPr>
          <w:trHeight w:val="175"/>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Hybrid JRSA</w:t>
            </w:r>
          </w:p>
        </w:tc>
        <w:tc>
          <w:tcPr>
            <w:tcW w:w="56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89,240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4,785</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97,361</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4,785</w:t>
            </w:r>
          </w:p>
        </w:tc>
        <w:tc>
          <w:tcPr>
            <w:tcW w:w="180" w:type="dxa"/>
            <w:vAlign w:val="bottom"/>
          </w:tcPr>
          <w:p>
            <w:pPr>
              <w:spacing w:after="0"/>
              <w:rPr>
                <w:sz w:val="15"/>
                <w:szCs w:val="15"/>
                <w:color w:val="auto"/>
              </w:rPr>
            </w:pPr>
          </w:p>
        </w:tc>
      </w:tr>
      <w:tr>
        <w:trPr>
          <w:trHeight w:val="176"/>
        </w:trPr>
        <w:tc>
          <w:tcPr>
            <w:tcW w:w="22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Traditional JRSA</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ind w:right="192"/>
              <w:spacing w:after="0"/>
              <w:rPr>
                <w:sz w:val="20"/>
                <w:szCs w:val="20"/>
                <w:color w:val="auto"/>
              </w:rPr>
            </w:pPr>
            <w:r>
              <w:rPr>
                <w:rFonts w:ascii="Arial" w:cs="Arial" w:eastAsia="Arial" w:hAnsi="Arial"/>
                <w:sz w:val="10"/>
                <w:szCs w:val="10"/>
                <w:color w:val="auto"/>
                <w:w w:val="81"/>
              </w:rPr>
              <w:t>(1)</w:t>
            </w:r>
          </w:p>
        </w:tc>
        <w:tc>
          <w:tcPr>
            <w:tcW w:w="3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95</w:t>
            </w:r>
          </w:p>
        </w:tc>
        <w:tc>
          <w:tcPr>
            <w:tcW w:w="340" w:type="dxa"/>
            <w:vAlign w:val="bottom"/>
            <w:tcBorders>
              <w:bottom w:val="single" w:sz="8" w:color="CFF0FC"/>
            </w:tcBorders>
            <w:shd w:val="clear" w:color="auto" w:fill="CFF0FC"/>
          </w:tcPr>
          <w:p>
            <w:pPr>
              <w:jc w:val="right"/>
              <w:ind w:right="172"/>
              <w:spacing w:after="0"/>
              <w:rPr>
                <w:sz w:val="20"/>
                <w:szCs w:val="20"/>
                <w:color w:val="auto"/>
              </w:rPr>
            </w:pPr>
            <w:r>
              <w:rPr>
                <w:rFonts w:ascii="Arial" w:cs="Arial" w:eastAsia="Arial" w:hAnsi="Arial"/>
                <w:sz w:val="10"/>
                <w:szCs w:val="10"/>
                <w:color w:val="auto"/>
                <w:w w:val="81"/>
              </w:rPr>
              <w:t>(1)</w:t>
            </w: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200</w:t>
            </w:r>
          </w:p>
        </w:tc>
        <w:tc>
          <w:tcPr>
            <w:tcW w:w="320" w:type="dxa"/>
            <w:vAlign w:val="bottom"/>
            <w:tcBorders>
              <w:bottom w:val="single" w:sz="8" w:color="CFF0FC"/>
            </w:tcBorders>
            <w:shd w:val="clear" w:color="auto" w:fill="CFF0FC"/>
          </w:tcPr>
          <w:p>
            <w:pPr>
              <w:jc w:val="center"/>
              <w:ind w:right="132"/>
              <w:spacing w:after="0"/>
              <w:rPr>
                <w:sz w:val="20"/>
                <w:szCs w:val="20"/>
                <w:color w:val="auto"/>
              </w:rPr>
            </w:pPr>
            <w:r>
              <w:rPr>
                <w:rFonts w:ascii="Arial" w:cs="Arial" w:eastAsia="Arial" w:hAnsi="Arial"/>
                <w:sz w:val="10"/>
                <w:szCs w:val="10"/>
                <w:color w:val="auto"/>
                <w:w w:val="81"/>
              </w:rPr>
              <w:t>(2)</w:t>
            </w:r>
          </w:p>
        </w:tc>
        <w:tc>
          <w:tcPr>
            <w:tcW w:w="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4,500</w:t>
            </w:r>
          </w:p>
        </w:tc>
        <w:tc>
          <w:tcPr>
            <w:tcW w:w="320" w:type="dxa"/>
            <w:vAlign w:val="bottom"/>
            <w:tcBorders>
              <w:bottom w:val="single" w:sz="8" w:color="CFF0FC"/>
            </w:tcBorders>
            <w:shd w:val="clear" w:color="auto" w:fill="CFF0FC"/>
          </w:tcPr>
          <w:p>
            <w:pPr>
              <w:jc w:val="right"/>
              <w:ind w:right="152"/>
              <w:spacing w:after="0"/>
              <w:rPr>
                <w:sz w:val="20"/>
                <w:szCs w:val="20"/>
                <w:color w:val="auto"/>
              </w:rPr>
            </w:pPr>
            <w:r>
              <w:rPr>
                <w:rFonts w:ascii="Arial" w:cs="Arial" w:eastAsia="Arial" w:hAnsi="Arial"/>
                <w:sz w:val="10"/>
                <w:szCs w:val="10"/>
                <w:color w:val="auto"/>
                <w:w w:val="81"/>
              </w:rPr>
              <w:t>(2)</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152"/>
              <w:spacing w:after="0"/>
              <w:rPr>
                <w:sz w:val="20"/>
                <w:szCs w:val="20"/>
                <w:color w:val="auto"/>
              </w:rPr>
            </w:pPr>
            <w:r>
              <w:rPr>
                <w:rFonts w:ascii="Arial" w:cs="Arial" w:eastAsia="Arial" w:hAnsi="Arial"/>
                <w:sz w:val="10"/>
                <w:szCs w:val="10"/>
                <w:color w:val="auto"/>
                <w:w w:val="81"/>
              </w:rPr>
              <w:t>(1)</w:t>
            </w:r>
          </w:p>
        </w:tc>
        <w:tc>
          <w:tcPr>
            <w:tcW w:w="3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78</w:t>
            </w:r>
          </w:p>
        </w:tc>
        <w:tc>
          <w:tcPr>
            <w:tcW w:w="3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0"/>
                <w:szCs w:val="10"/>
                <w:color w:val="auto"/>
                <w:w w:val="81"/>
              </w:rPr>
              <w:t>(1)</w:t>
            </w:r>
          </w:p>
        </w:tc>
        <w:tc>
          <w:tcPr>
            <w:tcW w:w="1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247</w:t>
            </w:r>
          </w:p>
        </w:tc>
        <w:tc>
          <w:tcPr>
            <w:tcW w:w="3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0"/>
                <w:szCs w:val="10"/>
                <w:color w:val="auto"/>
                <w:w w:val="81"/>
              </w:rPr>
              <w:t>(2)</w:t>
            </w:r>
          </w:p>
        </w:tc>
        <w:tc>
          <w:tcPr>
            <w:tcW w:w="3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5,500</w:t>
            </w:r>
          </w:p>
        </w:tc>
        <w:tc>
          <w:tcPr>
            <w:tcW w:w="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0"/>
                <w:szCs w:val="10"/>
                <w:color w:val="auto"/>
                <w:w w:val="81"/>
              </w:rPr>
              <w:t>(2)</w:t>
            </w:r>
          </w:p>
        </w:tc>
      </w:tr>
      <w:tr>
        <w:trPr>
          <w:trHeight w:val="169"/>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381</w:t>
            </w:r>
          </w:p>
        </w:tc>
        <w:tc>
          <w:tcPr>
            <w:tcW w:w="480" w:type="dxa"/>
            <w:vAlign w:val="bottom"/>
            <w:gridSpan w:val="2"/>
          </w:tcPr>
          <w:p>
            <w:pPr>
              <w:jc w:val="right"/>
              <w:ind w:right="192"/>
              <w:spacing w:after="0"/>
              <w:rPr>
                <w:sz w:val="20"/>
                <w:szCs w:val="20"/>
                <w:color w:val="auto"/>
              </w:rPr>
            </w:pPr>
            <w:r>
              <w:rPr>
                <w:rFonts w:ascii="Arial" w:cs="Arial" w:eastAsia="Arial" w:hAnsi="Arial"/>
                <w:sz w:val="10"/>
                <w:szCs w:val="10"/>
                <w:color w:val="auto"/>
              </w:rPr>
              <w:t>(3)</w:t>
            </w:r>
          </w:p>
        </w:tc>
        <w:tc>
          <w:tcPr>
            <w:tcW w:w="36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340" w:type="dxa"/>
            <w:vAlign w:val="bottom"/>
          </w:tcPr>
          <w:p>
            <w:pPr>
              <w:jc w:val="right"/>
              <w:ind w:right="172"/>
              <w:spacing w:after="0"/>
              <w:rPr>
                <w:sz w:val="20"/>
                <w:szCs w:val="20"/>
                <w:color w:val="auto"/>
              </w:rPr>
            </w:pPr>
            <w:r>
              <w:rPr>
                <w:rFonts w:ascii="Arial" w:cs="Arial" w:eastAsia="Arial" w:hAnsi="Arial"/>
                <w:sz w:val="10"/>
                <w:szCs w:val="10"/>
                <w:color w:val="auto"/>
                <w:w w:val="81"/>
              </w:rPr>
              <w:t>(3)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272,558</w:t>
            </w:r>
          </w:p>
        </w:tc>
        <w:tc>
          <w:tcPr>
            <w:tcW w:w="320" w:type="dxa"/>
            <w:vAlign w:val="bottom"/>
          </w:tcPr>
          <w:p>
            <w:pPr>
              <w:jc w:val="center"/>
              <w:ind w:right="132"/>
              <w:spacing w:after="0"/>
              <w:rPr>
                <w:sz w:val="20"/>
                <w:szCs w:val="20"/>
                <w:color w:val="auto"/>
              </w:rPr>
            </w:pPr>
            <w:r>
              <w:rPr>
                <w:rFonts w:ascii="Arial" w:cs="Arial" w:eastAsia="Arial" w:hAnsi="Arial"/>
                <w:sz w:val="10"/>
                <w:szCs w:val="10"/>
                <w:color w:val="auto"/>
                <w:w w:val="81"/>
              </w:rPr>
              <w:t>(3)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20,687</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w w:val="81"/>
              </w:rPr>
              <w:t>(3)</w:t>
            </w:r>
          </w:p>
        </w:tc>
        <w:tc>
          <w:tcPr>
            <w:tcW w:w="54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3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295,800</w:t>
            </w:r>
          </w:p>
        </w:tc>
        <w:tc>
          <w:tcPr>
            <w:tcW w:w="30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7"/>
              </w:rPr>
              <w:t>23,469</w:t>
            </w:r>
          </w:p>
        </w:tc>
        <w:tc>
          <w:tcPr>
            <w:tcW w:w="18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-287655</wp:posOffset>
            </wp:positionV>
            <wp:extent cx="146050"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-287655</wp:posOffset>
            </wp:positionV>
            <wp:extent cx="145415"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-287655</wp:posOffset>
            </wp:positionV>
            <wp:extent cx="137160"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-287655</wp:posOffset>
            </wp:positionV>
            <wp:extent cx="137160"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-287655</wp:posOffset>
            </wp:positionV>
            <wp:extent cx="13716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-287655</wp:posOffset>
            </wp:positionV>
            <wp:extent cx="120015"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-287655</wp:posOffset>
            </wp:positionV>
            <wp:extent cx="120015"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-287655</wp:posOffset>
            </wp:positionV>
            <wp:extent cx="12001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41" w:lineRule="exact"/>
        <w:rPr>
          <w:sz w:val="20"/>
          <w:szCs w:val="20"/>
          <w:color w:val="auto"/>
        </w:rPr>
      </w:pPr>
    </w:p>
    <w:p>
      <w:pPr>
        <w:ind w:left="380" w:hanging="372"/>
        <w:spacing w:after="0" w:line="261"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43 IMAX Theater Systems (2021 — 44) where the customer has the option to convert from a joint revenue sharing arrangement to a sale arrangement.</w:t>
      </w:r>
    </w:p>
    <w:p>
      <w:pPr>
        <w:spacing w:after="0" w:line="130" w:lineRule="exact"/>
        <w:rPr>
          <w:rFonts w:ascii="Arial" w:cs="Arial" w:eastAsia="Arial" w:hAnsi="Arial"/>
          <w:sz w:val="18"/>
          <w:szCs w:val="18"/>
          <w:color w:val="auto"/>
        </w:rPr>
      </w:pPr>
    </w:p>
    <w:p>
      <w:pPr>
        <w:jc w:val="both"/>
        <w:ind w:left="380" w:hanging="372"/>
        <w:spacing w:after="0" w:line="270"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spacing w:after="0" w:line="136" w:lineRule="exact"/>
        <w:rPr>
          <w:rFonts w:ascii="Arial" w:cs="Arial" w:eastAsia="Arial" w:hAnsi="Arial"/>
          <w:sz w:val="17"/>
          <w:szCs w:val="17"/>
          <w:color w:val="auto"/>
        </w:rPr>
      </w:pPr>
    </w:p>
    <w:p>
      <w:pPr>
        <w:ind w:left="380" w:hanging="372"/>
        <w:spacing w:after="0" w:line="261"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June 30, 2022, the Company's backlog includes 14 theaters in Russia, one theater in Ukraine, and seven theaters in Belarus with a total fixed contracted value of $25.6 million.</w:t>
      </w:r>
    </w:p>
    <w:p>
      <w:pPr>
        <w:spacing w:after="0" w:line="130" w:lineRule="exact"/>
        <w:rPr>
          <w:sz w:val="20"/>
          <w:szCs w:val="20"/>
          <w:color w:val="auto"/>
        </w:rPr>
      </w:pPr>
    </w:p>
    <w:p>
      <w:pPr>
        <w:jc w:val="both"/>
        <w:ind w:firstLine="224"/>
        <w:spacing w:after="0" w:line="238" w:lineRule="auto"/>
        <w:rPr>
          <w:sz w:val="20"/>
          <w:szCs w:val="20"/>
          <w:color w:val="auto"/>
        </w:rPr>
      </w:pPr>
      <w:r>
        <w:rPr>
          <w:rFonts w:ascii="Arial" w:cs="Arial" w:eastAsia="Arial" w:hAnsi="Arial"/>
          <w:sz w:val="18"/>
          <w:szCs w:val="18"/>
          <w:color w:val="auto"/>
        </w:rPr>
        <w:t>The number of IMAX Theater Systems in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The dollar value of backlog typically represents the fixed contracted revenue under signed IMAX Theater System sale and lease agreements that the Company expects to recognize as revenue upon installation and acceptance of the associated system, as well as an estimate of variable consideration in sale arrangements. The value of backlog does not include amounts allocated to maintenance and extended warranty revenues or revenue from theaters in which the Company has an equity interest, operating leases, and long-term conditional theater commitments. The Company believes that the contractual obligations for IMAX Theater System installations that are listed in backlog are valid and binding commitments.</w:t>
      </w:r>
    </w:p>
    <w:p>
      <w:pPr>
        <w:spacing w:after="0" w:line="153" w:lineRule="exact"/>
        <w:rPr>
          <w:sz w:val="20"/>
          <w:szCs w:val="20"/>
          <w:color w:val="auto"/>
        </w:rPr>
      </w:pPr>
    </w:p>
    <w:p>
      <w:pPr>
        <w:jc w:val="both"/>
        <w:ind w:firstLine="223"/>
        <w:spacing w:after="0" w:line="241"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62" w:lineRule="exact"/>
        <w:rPr>
          <w:sz w:val="20"/>
          <w:szCs w:val="20"/>
          <w:color w:val="auto"/>
        </w:rPr>
      </w:pPr>
    </w:p>
    <w:p>
      <w:pPr>
        <w:jc w:val="both"/>
        <w:ind w:firstLine="223"/>
        <w:spacing w:after="0" w:line="324"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9" w:name="page60"/>
    <w:bookmarkEnd w:id="59"/>
    <w:p>
      <w:pPr>
        <w:ind w:right="20" w:firstLine="223"/>
        <w:spacing w:after="0" w:line="261" w:lineRule="auto"/>
        <w:rPr>
          <w:sz w:val="20"/>
          <w:szCs w:val="20"/>
          <w:color w:val="auto"/>
        </w:rPr>
      </w:pPr>
      <w:r>
        <w:rPr>
          <w:rFonts w:ascii="Arial" w:cs="Arial" w:eastAsia="Arial" w:hAnsi="Arial"/>
          <w:sz w:val="18"/>
          <w:szCs w:val="18"/>
          <w:color w:val="auto"/>
        </w:rPr>
        <w:t>The following tables provide detailed information about the Company’s backlog by arrangement type and geographic location as of June 30,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center"/>
              <w:ind w:right="18"/>
              <w:spacing w:after="0"/>
              <w:rPr>
                <w:sz w:val="20"/>
                <w:szCs w:val="20"/>
                <w:color w:val="auto"/>
              </w:rPr>
            </w:pPr>
            <w:r>
              <w:rPr>
                <w:rFonts w:ascii="Arial" w:cs="Arial" w:eastAsia="Arial" w:hAnsi="Arial"/>
                <w:sz w:val="14"/>
                <w:szCs w:val="14"/>
                <w:b w:val="1"/>
                <w:bCs w:val="1"/>
                <w:color w:val="auto"/>
                <w:w w:val="90"/>
              </w:rPr>
              <w:t>June 30, 2022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center"/>
              <w:ind w:right="18"/>
              <w:spacing w:after="0"/>
              <w:rPr>
                <w:sz w:val="20"/>
                <w:szCs w:val="20"/>
                <w:color w:val="auto"/>
              </w:rPr>
            </w:pPr>
            <w:r>
              <w:rPr>
                <w:rFonts w:ascii="Arial" w:cs="Arial" w:eastAsia="Arial" w:hAnsi="Arial"/>
                <w:sz w:val="14"/>
                <w:szCs w:val="14"/>
                <w:b w:val="1"/>
                <w:bCs w:val="1"/>
                <w:color w:val="auto"/>
                <w:w w:val="96"/>
              </w:rPr>
              <w:t>IMAX Theater System Backlog</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Traditional</w:t>
            </w:r>
          </w:p>
        </w:tc>
        <w:tc>
          <w:tcPr>
            <w:tcW w:w="2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Hybrid</w:t>
            </w:r>
          </w:p>
        </w:tc>
        <w:tc>
          <w:tcPr>
            <w:tcW w:w="26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Sale / 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 Lease</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w:t>
            </w:r>
          </w:p>
        </w:tc>
        <w:tc>
          <w:tcPr>
            <w:tcW w:w="3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71</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ind w:left="200"/>
              <w:spacing w:after="0" w:line="202" w:lineRule="exact"/>
              <w:rPr>
                <w:sz w:val="20"/>
                <w:szCs w:val="20"/>
                <w:color w:val="auto"/>
              </w:rPr>
            </w:pPr>
            <w:r>
              <w:rPr>
                <w:rFonts w:ascii="Arial" w:cs="Arial" w:eastAsia="Arial" w:hAnsi="Arial"/>
                <w:sz w:val="17"/>
                <w:szCs w:val="17"/>
                <w:color w:val="auto"/>
              </w:rPr>
              <w:t>Russia/the CIS &amp; Ukraine</w:t>
            </w:r>
            <w:r>
              <w:rPr>
                <w:rFonts w:ascii="Arial" w:cs="Arial" w:eastAsia="Arial" w:hAnsi="Arial"/>
                <w:sz w:val="23"/>
                <w:szCs w:val="23"/>
                <w:color w:val="auto"/>
                <w:vertAlign w:val="superscript"/>
              </w:rPr>
              <w:t>(1)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Rest of the World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w:t>
            </w:r>
          </w:p>
        </w:tc>
        <w:tc>
          <w:tcPr>
            <w:tcW w:w="2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2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360</w:t>
            </w:r>
          </w:p>
        </w:tc>
        <w:tc>
          <w:tcPr>
            <w:tcW w:w="3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Worldwide Total</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26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center"/>
              <w:ind w:right="18"/>
              <w:spacing w:after="0"/>
              <w:rPr>
                <w:sz w:val="20"/>
                <w:szCs w:val="20"/>
                <w:color w:val="auto"/>
              </w:rPr>
            </w:pPr>
            <w:r>
              <w:rPr>
                <w:rFonts w:ascii="Arial" w:cs="Arial" w:eastAsia="Arial" w:hAnsi="Arial"/>
                <w:sz w:val="14"/>
                <w:szCs w:val="14"/>
                <w:b w:val="1"/>
                <w:bCs w:val="1"/>
                <w:color w:val="auto"/>
                <w:w w:val="90"/>
              </w:rPr>
              <w:t>June 30, 2021</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center"/>
              <w:ind w:right="18"/>
              <w:spacing w:after="0"/>
              <w:rPr>
                <w:sz w:val="20"/>
                <w:szCs w:val="20"/>
                <w:color w:val="auto"/>
              </w:rPr>
            </w:pPr>
            <w:r>
              <w:rPr>
                <w:rFonts w:ascii="Arial" w:cs="Arial" w:eastAsia="Arial" w:hAnsi="Arial"/>
                <w:sz w:val="14"/>
                <w:szCs w:val="14"/>
                <w:b w:val="1"/>
                <w:bCs w:val="1"/>
                <w:color w:val="auto"/>
                <w:w w:val="96"/>
              </w:rPr>
              <w:t>IMAX Theater System Backlog</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Traditional</w:t>
            </w:r>
          </w:p>
        </w:tc>
        <w:tc>
          <w:tcPr>
            <w:tcW w:w="26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Hybrid</w:t>
            </w:r>
          </w:p>
        </w:tc>
        <w:tc>
          <w:tcPr>
            <w:tcW w:w="26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Sale / 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 Lease</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2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w:t>
            </w:r>
          </w:p>
        </w:tc>
        <w:tc>
          <w:tcPr>
            <w:tcW w:w="3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Russia/the CIS &amp; Ukraine</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Rest of the World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w:t>
            </w:r>
          </w:p>
        </w:tc>
        <w:tc>
          <w:tcPr>
            <w:tcW w:w="2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w:t>
            </w:r>
          </w:p>
        </w:tc>
        <w:tc>
          <w:tcPr>
            <w:tcW w:w="2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382</w:t>
            </w:r>
          </w:p>
        </w:tc>
        <w:tc>
          <w:tcPr>
            <w:tcW w:w="3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Worldwide Total</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142</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185</w:t>
            </w: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514</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-3288030</wp:posOffset>
            </wp:positionV>
            <wp:extent cx="77470"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-3288030</wp:posOffset>
            </wp:positionV>
            <wp:extent cx="76835"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-3288030</wp:posOffset>
            </wp:positionV>
            <wp:extent cx="6858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-3288030</wp:posOffset>
            </wp:positionV>
            <wp:extent cx="68580"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-2242185</wp:posOffset>
            </wp:positionV>
            <wp:extent cx="7747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-2242185</wp:posOffset>
            </wp:positionV>
            <wp:extent cx="76835"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-2242185</wp:posOffset>
            </wp:positionV>
            <wp:extent cx="6858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-2242185</wp:posOffset>
            </wp:positionV>
            <wp:extent cx="6858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-1350645</wp:posOffset>
            </wp:positionV>
            <wp:extent cx="77470"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-1350645</wp:posOffset>
            </wp:positionV>
            <wp:extent cx="76835"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-1350645</wp:posOffset>
            </wp:positionV>
            <wp:extent cx="6858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-1350645</wp:posOffset>
            </wp:positionV>
            <wp:extent cx="6858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-304800</wp:posOffset>
            </wp:positionV>
            <wp:extent cx="77470"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-304800</wp:posOffset>
            </wp:positionV>
            <wp:extent cx="76835"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-304800</wp:posOffset>
            </wp:positionV>
            <wp:extent cx="68580"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-304800</wp:posOffset>
            </wp:positionV>
            <wp:extent cx="68580"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both"/>
        <w:ind w:left="380" w:hanging="372"/>
        <w:spacing w:after="0" w:line="294"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addition to Russia, the CIS includes Azerbaijan, Belarus, Kazakhstan, and Kyrgyzstan. In March 2022, in response to the ongoing conflict between Russia and Ukraine and resulting sanctions, the Company suspended its operations in Russia and Belarus. As of June 30, 2022, the Company's backlog includes 14 theaters in Russia, one theater in Ukraine, and seven theaters in Belarus with a total fixed contracted value of $25.6 million.</w:t>
      </w:r>
    </w:p>
    <w:p>
      <w:pPr>
        <w:spacing w:after="0" w:line="106" w:lineRule="exact"/>
        <w:rPr>
          <w:rFonts w:ascii="Arial" w:cs="Arial" w:eastAsia="Arial" w:hAnsi="Arial"/>
          <w:sz w:val="16"/>
          <w:szCs w:val="16"/>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201 new IMAX Laser Theater Systems and 111 upgrades of existing locations to IMAX Laser Theater Systems.</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155 new IMAX Laser Theater Systems and 96 upgrades of existing locations to IMAX Laser Theater Systems.</w:t>
      </w:r>
    </w:p>
    <w:p>
      <w:pPr>
        <w:spacing w:after="0" w:line="185" w:lineRule="exact"/>
        <w:rPr>
          <w:sz w:val="20"/>
          <w:szCs w:val="20"/>
          <w:color w:val="auto"/>
        </w:rPr>
      </w:pPr>
    </w:p>
    <w:p>
      <w:pPr>
        <w:ind w:firstLine="224"/>
        <w:spacing w:after="0" w:line="261" w:lineRule="auto"/>
        <w:rPr>
          <w:sz w:val="20"/>
          <w:szCs w:val="20"/>
          <w:color w:val="auto"/>
        </w:rPr>
      </w:pPr>
      <w:r>
        <w:rPr>
          <w:rFonts w:ascii="Arial" w:cs="Arial" w:eastAsia="Arial" w:hAnsi="Arial"/>
          <w:sz w:val="18"/>
          <w:szCs w:val="18"/>
          <w:color w:val="auto"/>
        </w:rPr>
        <w:t>Approximately 73% of IMAX Theater System arrangements in backlog as of June 30, 2022 are scheduled to be installed in international markets (2021 — 74%).</w:t>
      </w:r>
    </w:p>
    <w:p>
      <w:pPr>
        <w:spacing w:after="0" w:line="130"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Signings and Installations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detailed information about IMAX Theater System signings and installations for the three and six months ended June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4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center"/>
              <w:ind w:right="33"/>
              <w:spacing w:after="0"/>
              <w:rPr>
                <w:sz w:val="20"/>
                <w:szCs w:val="20"/>
                <w:color w:val="auto"/>
              </w:rPr>
            </w:pPr>
            <w:r>
              <w:rPr>
                <w:rFonts w:ascii="Arial" w:cs="Arial" w:eastAsia="Arial" w:hAnsi="Arial"/>
                <w:sz w:val="14"/>
                <w:szCs w:val="14"/>
                <w:b w:val="1"/>
                <w:bCs w:val="1"/>
                <w:color w:val="auto"/>
                <w:w w:val="93"/>
              </w:rPr>
              <w:t>For the Six Months Ended</w:t>
            </w:r>
          </w:p>
        </w:tc>
        <w:tc>
          <w:tcPr>
            <w:tcW w:w="100" w:type="dxa"/>
            <w:vAlign w:val="bottom"/>
          </w:tcPr>
          <w:p>
            <w:pPr>
              <w:spacing w:after="0"/>
              <w:rPr>
                <w:sz w:val="16"/>
                <w:szCs w:val="16"/>
                <w:color w:val="auto"/>
              </w:rPr>
            </w:pPr>
          </w:p>
        </w:tc>
      </w:tr>
      <w:tr>
        <w:trPr>
          <w:trHeight w:val="188"/>
        </w:trPr>
        <w:tc>
          <w:tcPr>
            <w:tcW w:w="15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left="69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540" w:type="dxa"/>
            <w:vAlign w:val="bottom"/>
            <w:gridSpan w:val="3"/>
          </w:tcPr>
          <w:p>
            <w:pPr>
              <w:ind w:left="6140"/>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440" w:type="dxa"/>
            <w:vAlign w:val="bottom"/>
            <w:gridSpan w:val="3"/>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57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Theater System Signings:</w:t>
            </w:r>
          </w:p>
        </w:tc>
        <w:tc>
          <w:tcPr>
            <w:tcW w:w="8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New IMAX Theater Systems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Sale and sales-type lease arrangements</w:t>
            </w: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4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Hybrid JRSA</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572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Traditional JRSA</w:t>
            </w:r>
          </w:p>
        </w:tc>
        <w:tc>
          <w:tcPr>
            <w:tcW w:w="8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80" w:type="dxa"/>
            <w:vAlign w:val="bottom"/>
            <w:tcBorders>
              <w:bottom w:val="single" w:sz="8" w:color="CFF0FC"/>
            </w:tcBorders>
            <w:gridSpan w:val="2"/>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Total new IMAX Theater Systems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03"/>
        </w:trPr>
        <w:tc>
          <w:tcPr>
            <w:tcW w:w="572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Upgrades of IMAX Theater Systems</w:t>
            </w:r>
          </w:p>
        </w:tc>
        <w:tc>
          <w:tcPr>
            <w:tcW w:w="8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380" w:type="dxa"/>
            <w:vAlign w:val="bottom"/>
            <w:tcBorders>
              <w:bottom w:val="single" w:sz="8" w:color="CFF0FC"/>
            </w:tcBorders>
            <w:gridSpan w:val="2"/>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IMAX Theater System signings</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380" w:type="dxa"/>
            <w:vAlign w:val="bottom"/>
            <w:gridSpan w:val="2"/>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7"/>
        </w:trPr>
        <w:tc>
          <w:tcPr>
            <w:tcW w:w="1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4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3"/>
              <w:spacing w:after="0"/>
              <w:rPr>
                <w:sz w:val="20"/>
                <w:szCs w:val="20"/>
                <w:color w:val="auto"/>
              </w:rPr>
            </w:pPr>
            <w:r>
              <w:rPr>
                <w:rFonts w:ascii="Arial" w:cs="Arial" w:eastAsia="Arial" w:hAnsi="Arial"/>
                <w:sz w:val="14"/>
                <w:szCs w:val="14"/>
                <w:b w:val="1"/>
                <w:bCs w:val="1"/>
                <w:color w:val="auto"/>
                <w:w w:val="93"/>
              </w:rPr>
              <w:t>For the Six Months Ended</w:t>
            </w:r>
          </w:p>
        </w:tc>
        <w:tc>
          <w:tcPr>
            <w:tcW w:w="100" w:type="dxa"/>
            <w:vAlign w:val="bottom"/>
          </w:tcPr>
          <w:p>
            <w:pPr>
              <w:spacing w:after="0"/>
              <w:rPr>
                <w:sz w:val="24"/>
                <w:szCs w:val="24"/>
                <w:color w:val="auto"/>
              </w:rPr>
            </w:pPr>
          </w:p>
        </w:tc>
      </w:tr>
      <w:tr>
        <w:trPr>
          <w:trHeight w:val="188"/>
        </w:trPr>
        <w:tc>
          <w:tcPr>
            <w:tcW w:w="15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left="69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540" w:type="dxa"/>
            <w:vAlign w:val="bottom"/>
            <w:gridSpan w:val="3"/>
          </w:tcPr>
          <w:p>
            <w:pPr>
              <w:ind w:left="6140"/>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440" w:type="dxa"/>
            <w:vAlign w:val="bottom"/>
            <w:gridSpan w:val="3"/>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55"/>
        </w:trPr>
        <w:tc>
          <w:tcPr>
            <w:tcW w:w="572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Theater System Installations: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654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New IMAX Theater Systems</w:t>
            </w:r>
            <w:r>
              <w:rPr>
                <w:rFonts w:ascii="Arial" w:cs="Arial" w:eastAsia="Arial" w:hAnsi="Arial"/>
                <w:sz w:val="24"/>
                <w:szCs w:val="24"/>
                <w:color w:val="auto"/>
                <w:vertAlign w:val="superscript"/>
              </w:rPr>
              <w:t>(1)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654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Sale and sales-type lease arrangements</w:t>
            </w: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4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Hybrid JRSA</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572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Traditional JRSA</w:t>
            </w:r>
          </w:p>
        </w:tc>
        <w:tc>
          <w:tcPr>
            <w:tcW w:w="8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380" w:type="dxa"/>
            <w:vAlign w:val="bottom"/>
            <w:tcBorders>
              <w:bottom w:val="single" w:sz="8" w:color="CFF0FC"/>
            </w:tcBorders>
            <w:gridSpan w:val="2"/>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Total new IMAX Theater Systems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r>
      <w:tr>
        <w:trPr>
          <w:trHeight w:val="203"/>
        </w:trPr>
        <w:tc>
          <w:tcPr>
            <w:tcW w:w="572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Upgrades of IMAX Theater Systems</w:t>
            </w:r>
          </w:p>
        </w:tc>
        <w:tc>
          <w:tcPr>
            <w:tcW w:w="8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80" w:type="dxa"/>
            <w:vAlign w:val="bottom"/>
            <w:tcBorders>
              <w:bottom w:val="single" w:sz="8" w:color="CFF0FC"/>
            </w:tcBorders>
            <w:gridSpan w:val="2"/>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Total IMAX Theater System installations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4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-2156460</wp:posOffset>
            </wp:positionV>
            <wp:extent cx="76835"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-2156460</wp:posOffset>
            </wp:positionV>
            <wp:extent cx="68580"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-2156460</wp:posOffset>
            </wp:positionV>
            <wp:extent cx="68580"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-2156460</wp:posOffset>
            </wp:positionV>
            <wp:extent cx="6858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-1891030</wp:posOffset>
            </wp:positionV>
            <wp:extent cx="76835"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-1891030</wp:posOffset>
            </wp:positionV>
            <wp:extent cx="68580"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-1891030</wp:posOffset>
            </wp:positionV>
            <wp:extent cx="6858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-1891030</wp:posOffset>
            </wp:positionV>
            <wp:extent cx="68580"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2890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-570865</wp:posOffset>
            </wp:positionV>
            <wp:extent cx="76835"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-570865</wp:posOffset>
            </wp:positionV>
            <wp:extent cx="68580"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-570865</wp:posOffset>
            </wp:positionV>
            <wp:extent cx="68580"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-304800</wp:posOffset>
            </wp:positionV>
            <wp:extent cx="76835"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-304800</wp:posOffset>
            </wp:positionV>
            <wp:extent cx="6858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-304800</wp:posOffset>
            </wp:positionV>
            <wp:extent cx="6858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-304800</wp:posOffset>
            </wp:positionV>
            <wp:extent cx="68580"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41"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three months ended June 30, 2022, includes four IMAX Theater Systems that were relocated from their original locations (2021 ― nil). For the six months ended June 30, 2022, includes six IMAX Theater Systems that were relocated from their original location. (2021 ― nil). When a theater system under a sale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49"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firstLine="224"/>
        <w:spacing w:after="0" w:line="238" w:lineRule="auto"/>
        <w:rPr>
          <w:sz w:val="20"/>
          <w:szCs w:val="20"/>
          <w:color w:val="auto"/>
        </w:rPr>
      </w:pPr>
      <w:r>
        <w:rPr>
          <w:rFonts w:ascii="Arial" w:cs="Arial" w:eastAsia="Arial" w:hAnsi="Arial"/>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DMR films and other events to be exhibited in IMAX theaters; (ii) the signing, installation, and financial performance of theater system arrangements, particularly those involving laser-based projection systems; (iii) the success of the Company’s investments in business evolution and brand extensions, including the distribution of live events to the IMAX network and IMAX Enhanced, (iv) revenues and gross margins earned by the Company’s segments, as discussed below; (v) consolidated earnings from operations, as adjusted for unusual items; (vi) the continuing ability to invest in and improve the Company’s technology to enhance the differentiation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versus other out-of-home experiences; (vii) the overall execution, reliability, and consumer acceptance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and (viii) short- and long-term cash flow projections.</w:t>
      </w:r>
    </w:p>
    <w:p>
      <w:pPr>
        <w:spacing w:after="0" w:line="153"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The CEO is the Company’s Chief Operating Decision Maker (“CODM”), as such term is defined under United States Generally Accepted Accounting Principles (“U.S. GAAP”). The CODM, along with other members of management,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reportable segments are organized into the following three categories: (i) IMAX Technology Network; (ii) IMAX Technology Sales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Maintenance; and (iii) Film Distribution and Post-Production. Within these categories are the Company’s following reportable segments: (i) IMAX DMR;</w:t>
      </w:r>
    </w:p>
    <w:p>
      <w:pPr>
        <w:spacing w:after="0" w:line="19" w:lineRule="exact"/>
        <w:rPr>
          <w:sz w:val="20"/>
          <w:szCs w:val="20"/>
          <w:color w:val="auto"/>
        </w:rPr>
      </w:pPr>
    </w:p>
    <w:p>
      <w:pPr>
        <w:jc w:val="both"/>
        <w:ind w:firstLine="8"/>
        <w:spacing w:after="0" w:line="237" w:lineRule="auto"/>
        <w:tabs>
          <w:tab w:leader="none" w:pos="2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JRSA; (iii) IMAX Systems; (iv) IMAX Maintenance; (v) Other Theater Business; (vi) Film Distribution; and (vii) Film Post-Production, each of which are described above under “Sources of Revenue.” The Company's activities that do not meet the criteria to be considered a reportable segment are disclosed within All Other. This categorization is consistent with how the CODM reviews the financial performance of the Company and makes strategic decisions regarding resource allocation and investments to meet long-term business goals. Management believes that a discussion and analysis based on the three categories listed above is significantly more relevant and useful to readers, as the Company’s Condensed Consolidated Statements of Operations captions combine results from several segments.</w:t>
      </w:r>
    </w:p>
    <w:p>
      <w:pPr>
        <w:spacing w:after="0" w:line="16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 Prior period comparatives have been reclassified to conform with the current period presentation.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2022 and 2021</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Loss and Adjusted Net Income (Loss) Attributable to Common Shareholders</w:t>
      </w:r>
    </w:p>
    <w:p>
      <w:pPr>
        <w:spacing w:after="0" w:line="18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following table presents the Company's net loss attributable to common shareholders and the associated per share amounts, as well as adjusted net income (loss) attributable to common shareholders* and adjusted net income (loss) attributable to common shareholders per share* for the three months ended June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420" w:type="dxa"/>
            <w:vAlign w:val="bottom"/>
          </w:tcPr>
          <w:p>
            <w:pPr>
              <w:ind w:left="20"/>
              <w:spacing w:after="0" w:line="133" w:lineRule="exact"/>
              <w:rPr>
                <w:sz w:val="20"/>
                <w:szCs w:val="20"/>
                <w:color w:val="auto"/>
              </w:rPr>
            </w:pPr>
            <w:r>
              <w:rPr>
                <w:rFonts w:ascii="Arial" w:cs="Arial" w:eastAsia="Arial" w:hAnsi="Arial"/>
                <w:sz w:val="14"/>
                <w:szCs w:val="14"/>
                <w:i w:val="1"/>
                <w:iCs w:val="1"/>
                <w:color w:val="auto"/>
              </w:rPr>
              <w:t>(In thousands of U.S. Dollars, except per share amounts)</w:t>
            </w:r>
          </w:p>
        </w:tc>
        <w:tc>
          <w:tcPr>
            <w:tcW w:w="120" w:type="dxa"/>
            <w:vAlign w:val="bottom"/>
          </w:tcPr>
          <w:p>
            <w:pPr>
              <w:spacing w:after="0"/>
              <w:rPr>
                <w:sz w:val="11"/>
                <w:szCs w:val="11"/>
                <w:color w:val="auto"/>
              </w:rPr>
            </w:pPr>
          </w:p>
        </w:tc>
        <w:tc>
          <w:tcPr>
            <w:tcW w:w="1120" w:type="dxa"/>
            <w:vAlign w:val="bottom"/>
            <w:gridSpan w:val="2"/>
          </w:tcPr>
          <w:p>
            <w:pPr>
              <w:jc w:val="center"/>
              <w:ind w:right="410"/>
              <w:spacing w:after="0" w:line="133" w:lineRule="exact"/>
              <w:rPr>
                <w:sz w:val="20"/>
                <w:szCs w:val="20"/>
                <w:color w:val="auto"/>
              </w:rPr>
            </w:pPr>
            <w:r>
              <w:rPr>
                <w:rFonts w:ascii="Arial" w:cs="Arial" w:eastAsia="Arial" w:hAnsi="Arial"/>
                <w:sz w:val="14"/>
                <w:szCs w:val="14"/>
                <w:b w:val="1"/>
                <w:bCs w:val="1"/>
                <w:color w:val="auto"/>
                <w:w w:val="90"/>
              </w:rPr>
              <w:t>Net (Loss)</w:t>
            </w:r>
          </w:p>
        </w:tc>
        <w:tc>
          <w:tcPr>
            <w:tcW w:w="120" w:type="dxa"/>
            <w:vAlign w:val="bottom"/>
          </w:tcPr>
          <w:p>
            <w:pPr>
              <w:spacing w:after="0"/>
              <w:rPr>
                <w:sz w:val="11"/>
                <w:szCs w:val="11"/>
                <w:color w:val="auto"/>
              </w:rPr>
            </w:pPr>
          </w:p>
        </w:tc>
        <w:tc>
          <w:tcPr>
            <w:tcW w:w="86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7"/>
              </w:rPr>
              <w:t>Per Diluted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91"/>
              </w:rPr>
              <w:t>Net Loss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4"/>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2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6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(2,851</w:t>
            </w:r>
          </w:p>
        </w:tc>
        <w:tc>
          <w:tcPr>
            <w:tcW w:w="3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(0.05</w:t>
            </w:r>
          </w:p>
        </w:tc>
        <w:tc>
          <w:tcPr>
            <w:tcW w:w="3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(9,211</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Adjusted net income (loss) attributable to common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3,922</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(6,972 )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5123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8" w:lineRule="exact"/>
        <w:rPr>
          <w:sz w:val="20"/>
          <w:szCs w:val="20"/>
          <w:color w:val="auto"/>
        </w:rPr>
      </w:pPr>
    </w:p>
    <w:p>
      <w:pPr>
        <w:ind w:left="180" w:hanging="172"/>
        <w:spacing w:after="0" w:line="261" w:lineRule="auto"/>
        <w:tabs>
          <w:tab w:leader="none" w:pos="1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b w:val="1"/>
          <w:bCs w:val="1"/>
          <w:i w:val="1"/>
          <w:iCs w:val="1"/>
          <w:color w:val="auto"/>
        </w:rPr>
        <w:t>Revenues and Gross Margin (Margin Loss)</w:t>
      </w:r>
    </w:p>
    <w:p>
      <w:pPr>
        <w:spacing w:after="0" w:line="185"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7"/>
          <w:szCs w:val="17"/>
          <w:color w:val="auto"/>
        </w:rPr>
        <w:t xml:space="preserve">During the three months ended June 30, 2022, the Company's revenues and gross margin increased by $23.0 million (45%) and $18.4 million (72%), respectively, when compared to same period in 2021 principally due to the strength of the GBO performance of the IMAX Technology Network through the distribution of films such as </w:t>
      </w:r>
      <w:r>
        <w:rPr>
          <w:rFonts w:ascii="Arial" w:cs="Arial" w:eastAsia="Arial" w:hAnsi="Arial"/>
          <w:sz w:val="17"/>
          <w:szCs w:val="17"/>
          <w:i w:val="1"/>
          <w:iCs w:val="1"/>
          <w:color w:val="auto"/>
        </w:rPr>
        <w:t>Top Gun: Maverick</w:t>
      </w:r>
      <w:r>
        <w:rPr>
          <w:rFonts w:ascii="Arial" w:cs="Arial" w:eastAsia="Arial" w:hAnsi="Arial"/>
          <w:sz w:val="17"/>
          <w:szCs w:val="17"/>
          <w:color w:val="auto"/>
        </w:rPr>
        <w:t xml:space="preserve">, </w:t>
      </w:r>
      <w:r>
        <w:rPr>
          <w:rFonts w:ascii="Arial" w:cs="Arial" w:eastAsia="Arial" w:hAnsi="Arial"/>
          <w:sz w:val="17"/>
          <w:szCs w:val="17"/>
          <w:i w:val="1"/>
          <w:iCs w:val="1"/>
          <w:color w:val="auto"/>
        </w:rPr>
        <w:t>Doctor Strange In The Multiverse of Madness</w:t>
      </w:r>
      <w:r>
        <w:rPr>
          <w:rFonts w:ascii="Arial" w:cs="Arial" w:eastAsia="Arial" w:hAnsi="Arial"/>
          <w:sz w:val="17"/>
          <w:szCs w:val="17"/>
          <w:color w:val="auto"/>
        </w:rPr>
        <w:t xml:space="preserve">, </w:t>
      </w:r>
      <w:r>
        <w:rPr>
          <w:rFonts w:ascii="Arial" w:cs="Arial" w:eastAsia="Arial" w:hAnsi="Arial"/>
          <w:sz w:val="17"/>
          <w:szCs w:val="17"/>
          <w:i w:val="1"/>
          <w:iCs w:val="1"/>
          <w:color w:val="auto"/>
        </w:rPr>
        <w:t>Jurassic World: Dominion</w:t>
      </w:r>
      <w:r>
        <w:rPr>
          <w:rFonts w:ascii="Arial" w:cs="Arial" w:eastAsia="Arial" w:hAnsi="Arial"/>
          <w:sz w:val="17"/>
          <w:szCs w:val="17"/>
          <w:color w:val="auto"/>
        </w:rPr>
        <w:t xml:space="preserve"> and </w:t>
      </w:r>
      <w:r>
        <w:rPr>
          <w:rFonts w:ascii="Arial" w:cs="Arial" w:eastAsia="Arial" w:hAnsi="Arial"/>
          <w:sz w:val="17"/>
          <w:szCs w:val="17"/>
          <w:i w:val="1"/>
          <w:iCs w:val="1"/>
          <w:color w:val="auto"/>
        </w:rPr>
        <w:t>Fantastic Beasts: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Secrets of Dumbledore. </w:t>
      </w:r>
      <w:r>
        <w:rPr>
          <w:rFonts w:ascii="Arial" w:cs="Arial" w:eastAsia="Arial" w:hAnsi="Arial"/>
          <w:sz w:val="17"/>
          <w:szCs w:val="17"/>
          <w:color w:val="auto"/>
        </w:rPr>
        <w:t>Also contributing to the improvement in gross margin versus the prior year period is a $2.3 million (45%) increase in IMAX</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gross margin due to the global reopening of the IMAX theater network amidst the continuing recovery of the theatrical exhibition industry from earlier stages of the COVID-19 pandemic. However, these factors were partially offset by a lower level of IMAX Theater System installations in the period due, in part, to the impact of COVID-related restrictions in China during the period.</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Gross Margin (Margin Loss)</w:t>
            </w:r>
          </w:p>
        </w:tc>
        <w:tc>
          <w:tcPr>
            <w:tcW w:w="100" w:type="dxa"/>
            <w:vAlign w:val="bottom"/>
          </w:tcPr>
          <w:p>
            <w:pPr>
              <w:spacing w:after="0"/>
              <w:rPr>
                <w:sz w:val="16"/>
                <w:szCs w:val="16"/>
                <w:color w:val="auto"/>
              </w:rPr>
            </w:pPr>
          </w:p>
        </w:tc>
      </w:tr>
      <w:tr>
        <w:trPr>
          <w:trHeight w:val="183"/>
        </w:trPr>
        <w:tc>
          <w:tcPr>
            <w:tcW w:w="5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56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IMAX Technology Network</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IMAX DMR</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27,581</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11,793</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18,000</w:t>
            </w:r>
          </w:p>
        </w:tc>
        <w:tc>
          <w:tcPr>
            <w:tcW w:w="3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6,861</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JRSA, contingent rent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18,525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7,862</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12,889</w:t>
            </w:r>
          </w:p>
        </w:tc>
        <w:tc>
          <w:tcPr>
            <w:tcW w:w="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46,106</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19,655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30,889</w:t>
            </w: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8,651</w:t>
            </w:r>
          </w:p>
        </w:tc>
        <w:tc>
          <w:tcPr>
            <w:tcW w:w="100" w:type="dxa"/>
            <w:vAlign w:val="bottom"/>
          </w:tcPr>
          <w:p>
            <w:pPr>
              <w:spacing w:after="0"/>
              <w:rPr>
                <w:sz w:val="17"/>
                <w:szCs w:val="17"/>
                <w:color w:val="auto"/>
              </w:rPr>
            </w:pPr>
          </w:p>
        </w:tc>
      </w:tr>
      <w:tr>
        <w:trPr>
          <w:trHeight w:val="196"/>
        </w:trPr>
        <w:tc>
          <w:tcPr>
            <w:tcW w:w="56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IMAX Technology Sales and Maintenance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660" w:type="dxa"/>
            <w:vAlign w:val="bottom"/>
            <w:gridSpan w:val="2"/>
          </w:tcPr>
          <w:p>
            <w:pPr>
              <w:ind w:left="120"/>
              <w:spacing w:after="0" w:line="202" w:lineRule="exact"/>
              <w:rPr>
                <w:sz w:val="20"/>
                <w:szCs w:val="20"/>
                <w:color w:val="auto"/>
              </w:rPr>
            </w:pPr>
            <w:r>
              <w:rPr>
                <w:rFonts w:ascii="Arial" w:cs="Arial" w:eastAsia="Arial" w:hAnsi="Arial"/>
                <w:sz w:val="17"/>
                <w:szCs w:val="17"/>
                <w:color w:val="auto"/>
              </w:rPr>
              <w:t>IMAX Systems</w:t>
            </w:r>
            <w:r>
              <w:rPr>
                <w:rFonts w:ascii="Arial" w:cs="Arial" w:eastAsia="Arial" w:hAnsi="Arial"/>
                <w:sz w:val="23"/>
                <w:szCs w:val="23"/>
                <w:color w:val="auto"/>
                <w:vertAlign w:val="superscript"/>
              </w:rPr>
              <w:t>(1)</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8,231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15,982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5,427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10,548</w:t>
            </w: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JRSA, fixed fees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(19 )</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IMAX Maintenance</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14,683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11,235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7,367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5,075</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7"/>
                <w:szCs w:val="17"/>
                <w:color w:val="auto"/>
              </w:rPr>
              <w:t>Other Theater Business</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483</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24,332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28,702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12,821</w:t>
            </w: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16,112</w:t>
            </w:r>
          </w:p>
        </w:tc>
        <w:tc>
          <w:tcPr>
            <w:tcW w:w="100" w:type="dxa"/>
            <w:vAlign w:val="bottom"/>
          </w:tcPr>
          <w:p>
            <w:pPr>
              <w:spacing w:after="0"/>
              <w:rPr>
                <w:sz w:val="17"/>
                <w:szCs w:val="17"/>
                <w:color w:val="auto"/>
              </w:rPr>
            </w:pPr>
          </w:p>
        </w:tc>
      </w:tr>
      <w:tr>
        <w:trPr>
          <w:trHeight w:val="196"/>
        </w:trPr>
        <w:tc>
          <w:tcPr>
            <w:tcW w:w="566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Film Distribution and Post-Production</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1,590</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w:t>
            </w:r>
          </w:p>
        </w:tc>
        <w:tc>
          <w:tcPr>
            <w:tcW w:w="32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Sub-total for reportable segments</w:t>
            </w: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72,401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49,947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43,183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25,369</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All Other</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1,008</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853</w:t>
            </w:r>
          </w:p>
        </w:tc>
        <w:tc>
          <w:tcPr>
            <w:tcW w:w="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73,968</w:t>
            </w:r>
          </w:p>
        </w:tc>
        <w:tc>
          <w:tcPr>
            <w:tcW w:w="5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50,955</w:t>
            </w:r>
          </w:p>
        </w:tc>
        <w:tc>
          <w:tcPr>
            <w:tcW w:w="5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44,036</w:t>
            </w:r>
          </w:p>
        </w:tc>
        <w:tc>
          <w:tcPr>
            <w:tcW w:w="32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25,603</w:t>
            </w:r>
          </w:p>
        </w:tc>
        <w:tc>
          <w:tcPr>
            <w:tcW w:w="10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-1633855</wp:posOffset>
            </wp:positionV>
            <wp:extent cx="77470"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-1633855</wp:posOffset>
            </wp:positionV>
            <wp:extent cx="68580"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-1633855</wp:posOffset>
            </wp:positionV>
            <wp:extent cx="68580"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-845185</wp:posOffset>
            </wp:positionV>
            <wp:extent cx="77470"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-845185</wp:posOffset>
            </wp:positionV>
            <wp:extent cx="68580"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-845185</wp:posOffset>
            </wp:positionV>
            <wp:extent cx="68580"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-570865</wp:posOffset>
            </wp:positionV>
            <wp:extent cx="77470"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-570865</wp:posOffset>
            </wp:positionV>
            <wp:extent cx="68580"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-570865</wp:posOffset>
            </wp:positionV>
            <wp:extent cx="68580"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-304800</wp:posOffset>
            </wp:positionV>
            <wp:extent cx="77470"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-304800</wp:posOffset>
            </wp:positionV>
            <wp:extent cx="68580"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-304800</wp:posOffset>
            </wp:positionV>
            <wp:extent cx="68580"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-304800</wp:posOffset>
            </wp:positionV>
            <wp:extent cx="68580"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both"/>
        <w:ind w:left="380" w:hanging="372"/>
        <w:spacing w:after="0" w:line="270"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3" w:lineRule="exact"/>
        <w:rPr>
          <w:rFonts w:ascii="Arial" w:cs="Arial" w:eastAsia="Arial" w:hAnsi="Arial"/>
          <w:sz w:val="17"/>
          <w:szCs w:val="17"/>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Theater System parts and 3D glasses.</w:t>
      </w:r>
    </w:p>
    <w:p>
      <w:pPr>
        <w:spacing w:after="0" w:line="171" w:lineRule="exact"/>
        <w:rPr>
          <w:rFonts w:ascii="Arial" w:cs="Arial" w:eastAsia="Arial" w:hAnsi="Arial"/>
          <w:sz w:val="18"/>
          <w:szCs w:val="18"/>
          <w:color w:val="auto"/>
        </w:rPr>
      </w:pPr>
    </w:p>
    <w:p>
      <w:pPr>
        <w:jc w:val="both"/>
        <w:ind w:left="380" w:hanging="372"/>
        <w:spacing w:after="0" w:line="248"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Other includes the results from IMAX Enhanced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3" w:name="page64"/>
    <w:bookmarkEnd w:id="63"/>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5"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2"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For the three months ended June 30, 2022, IMAX Technology Network revenues and gross margin increased by $26.5 million (135%) and $22.2 million (257%), respectively, when compared to the same period in 2021 principally due to the strength of the GBO performance of the IMAX Technology Network. Although overall IMAX Technology Network revenues and gross margin for the current period were significantly better than the prior year, the results were impacted by the temporary closure of theaters in several cities in China in the second quarter of 2022 following the emergence of the Omicron variant and the resulting rise in COVID-19 cases earlier in the year. See below for separate discussions of IMAX DMR and JRSA contingent rent segment results for the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5" w:lineRule="exact"/>
        <w:rPr>
          <w:sz w:val="20"/>
          <w:szCs w:val="20"/>
          <w:color w:val="auto"/>
        </w:rPr>
      </w:pPr>
    </w:p>
    <w:p>
      <w:pPr>
        <w:jc w:val="both"/>
        <w:ind w:firstLine="224"/>
        <w:spacing w:after="0" w:line="239" w:lineRule="auto"/>
        <w:rPr>
          <w:sz w:val="20"/>
          <w:szCs w:val="20"/>
          <w:color w:val="auto"/>
        </w:rPr>
      </w:pPr>
      <w:r>
        <w:rPr>
          <w:rFonts w:ascii="Arial" w:cs="Arial" w:eastAsia="Arial" w:hAnsi="Arial"/>
          <w:sz w:val="18"/>
          <w:szCs w:val="18"/>
          <w:color w:val="auto"/>
        </w:rPr>
        <w:t xml:space="preserve">For the three months ended June 30, 2022, IMAX DMR revenues and gross margin increased by $15.8 million (134%) and $11.1 million (162%), respectively, when compared to the same period in 2021. These increases are primarily due to the strong performance of the films distributed through the IMAX network, which resulted in a $139.1 million (128%) increase in GBO in the second quarter of 2022, from $108.6 million to $247.7 million. This overall improvement in GBO for the period was partially offset by unfavorable foreign currency exchange rate movements. In the second quarter of 2022, GBO was generated by the exhibition of 18 films (13 new films and 5 carryovers), including </w:t>
      </w:r>
      <w:r>
        <w:rPr>
          <w:rFonts w:ascii="Arial" w:cs="Arial" w:eastAsia="Arial" w:hAnsi="Arial"/>
          <w:sz w:val="18"/>
          <w:szCs w:val="18"/>
          <w:i w:val="1"/>
          <w:iCs w:val="1"/>
          <w:color w:val="auto"/>
        </w:rPr>
        <w:t>Top Gun: Maverick</w:t>
      </w:r>
      <w:r>
        <w:rPr>
          <w:rFonts w:ascii="Arial" w:cs="Arial" w:eastAsia="Arial" w:hAnsi="Arial"/>
          <w:sz w:val="18"/>
          <w:szCs w:val="18"/>
          <w:color w:val="auto"/>
        </w:rPr>
        <w:t>, which generated GBO of $89.1 million in the period. In the second quarter of 2021, GBO was generated by the exhibition of 17 films (14 new films and 3 carryovers) and the re-release of classic titles.</w:t>
      </w:r>
    </w:p>
    <w:p>
      <w:pPr>
        <w:spacing w:after="0" w:line="150"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especially with respect to marketing expenses. For the three months ended June 30, 2022, marketing expenses were $4.2 million, as compared to $1.5 million during the same period in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5"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For the three months ended June 30, 2022, JRSA contingent rent revenue and gross margin increased by $10.7 million (136%) and $11.1 million, respectively, when compared to the same period in 2021. These increases are largely due to a $65.5 million (110%) increase in GBO generated by theaters under joint revenue sharing arrangements in the second quarter of 2022 when compared to the same period in the prior year, from $59.7 million to $125.2 million.</w:t>
      </w:r>
    </w:p>
    <w:p>
      <w:pPr>
        <w:spacing w:after="0" w:line="147"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7"/>
          <w:szCs w:val="17"/>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IMAX Xenon Theater Systems to IMAX Laser Theater Systems, as well as advertising, marketing, and commission costs primarily for the launch of new theaters. The level of depreciation expense in a period relative to the prior year is generally a function of the growth of the theater network and the mix of theater system configurations in the network. For the three months ended June 30, 2022 and 2021, JRSA gross margin included depreciation expense of $5.5 million. For the three months ended June 30, 2022, JRSA gross margin includes a net reversal of $0.1 million in advertising, marketing, and commission costs, as compared to expense of $0.2 million in the same period of the prior year primarily due to performance-based adjustments to accrued commission costs in accordance with the Company's Global Sales Commission Policy.</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85"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three months ended June 30, 2022, IMAX Technology Sales and Maintenance revenue and gross margin decreased by $4.4 million (15%) and $3.3 million (20%), respectively, when compared to the same period in the prior year. See below for separate discussions of IMAX Systems and IMAX Maintenance segment results for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4" w:name="page65"/>
    <w:bookmarkEnd w:id="64"/>
    <w:p>
      <w:pPr>
        <w:ind w:firstLine="224"/>
        <w:spacing w:after="0" w:line="261" w:lineRule="auto"/>
        <w:rPr>
          <w:sz w:val="20"/>
          <w:szCs w:val="20"/>
          <w:color w:val="auto"/>
        </w:rPr>
      </w:pPr>
      <w:r>
        <w:rPr>
          <w:rFonts w:ascii="Arial" w:cs="Arial" w:eastAsia="Arial" w:hAnsi="Arial"/>
          <w:sz w:val="18"/>
          <w:szCs w:val="18"/>
          <w:color w:val="auto"/>
        </w:rPr>
        <w:t>The following table provides detailed information about the mix of IMAX Theater Systems installed and recognized during the three months ended June 30,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For the Three Months Ended June 30,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9"/>
              </w:rPr>
              <w:t>2022</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2021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16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136"/>
              <w:spacing w:after="0" w:line="13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580" w:type="dxa"/>
            <w:vAlign w:val="bottom"/>
            <w:gridSpan w:val="2"/>
            <w:vMerge w:val="continue"/>
          </w:tcPr>
          <w:p>
            <w:pPr>
              <w:spacing w:after="0"/>
              <w:rPr>
                <w:sz w:val="10"/>
                <w:szCs w:val="10"/>
                <w:color w:val="auto"/>
              </w:rPr>
            </w:pP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0"/>
                <w:szCs w:val="10"/>
                <w:color w:val="auto"/>
              </w:rPr>
            </w:pPr>
          </w:p>
        </w:tc>
        <w:tc>
          <w:tcPr>
            <w:tcW w:w="11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66"/>
        </w:trPr>
        <w:tc>
          <w:tcPr>
            <w:tcW w:w="1500" w:type="dxa"/>
            <w:vAlign w:val="bottom"/>
          </w:tcPr>
          <w:p>
            <w:pPr>
              <w:spacing w:after="0"/>
              <w:rPr>
                <w:sz w:val="5"/>
                <w:szCs w:val="5"/>
                <w:color w:val="auto"/>
              </w:rPr>
            </w:pPr>
          </w:p>
        </w:tc>
        <w:tc>
          <w:tcPr>
            <w:tcW w:w="40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5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New IMAX Theater Systems:</w:t>
            </w: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200"/>
              <w:spacing w:after="0" w:line="202" w:lineRule="exact"/>
              <w:rPr>
                <w:sz w:val="20"/>
                <w:szCs w:val="20"/>
                <w:color w:val="auto"/>
              </w:rPr>
            </w:pPr>
            <w:r>
              <w:rPr>
                <w:rFonts w:ascii="Arial" w:cs="Arial" w:eastAsia="Arial" w:hAnsi="Arial"/>
                <w:sz w:val="17"/>
                <w:szCs w:val="17"/>
                <w:color w:val="auto"/>
              </w:rPr>
              <w:t>Sale and sales-type lease arrangements</w:t>
            </w:r>
            <w:r>
              <w:rPr>
                <w:rFonts w:ascii="Arial" w:cs="Arial" w:eastAsia="Arial" w:hAnsi="Arial"/>
                <w:sz w:val="23"/>
                <w:szCs w:val="23"/>
                <w:color w:val="auto"/>
                <w:vertAlign w:val="superscript"/>
              </w:rPr>
              <w:t>(1)</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1,026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4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JRSA — hybrid</w:t>
            </w: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496</w:t>
            </w: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0"/>
              <w:spacing w:after="0" w:line="195" w:lineRule="exact"/>
              <w:rPr>
                <w:sz w:val="20"/>
                <w:szCs w:val="20"/>
                <w:color w:val="auto"/>
              </w:rPr>
            </w:pPr>
            <w:r>
              <w:rPr>
                <w:rFonts w:ascii="Arial" w:cs="Arial" w:eastAsia="Arial" w:hAnsi="Arial"/>
                <w:sz w:val="17"/>
                <w:szCs w:val="17"/>
                <w:color w:val="auto"/>
              </w:rPr>
              <w:t>Total new IMAX Theater Systems</w:t>
            </w:r>
            <w:r>
              <w:rPr>
                <w:rFonts w:ascii="Arial" w:cs="Arial" w:eastAsia="Arial" w:hAnsi="Arial"/>
                <w:sz w:val="22"/>
                <w:szCs w:val="22"/>
                <w:color w:val="auto"/>
                <w:vertAlign w:val="superscript"/>
              </w:rPr>
              <w:t>(2)</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1,522</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13,072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CFF0FC"/>
          </w:tcPr>
          <w:p>
            <w:pPr>
              <w:spacing w:after="0"/>
              <w:rPr>
                <w:sz w:val="17"/>
                <w:szCs w:val="17"/>
                <w:color w:val="auto"/>
              </w:rPr>
            </w:pPr>
          </w:p>
        </w:tc>
        <w:tc>
          <w:tcPr>
            <w:tcW w:w="408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IMAX Theater System upgrades: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Sale and sales-type lease arrangements</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1,235</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FF0FC"/>
            </w:tcBorders>
            <w:gridSpan w:val="2"/>
          </w:tcPr>
          <w:p>
            <w:pPr>
              <w:ind w:left="200"/>
              <w:spacing w:after="0" w:line="202" w:lineRule="exact"/>
              <w:rPr>
                <w:sz w:val="20"/>
                <w:szCs w:val="20"/>
                <w:color w:val="auto"/>
              </w:rPr>
            </w:pPr>
            <w:r>
              <w:rPr>
                <w:rFonts w:ascii="Arial" w:cs="Arial" w:eastAsia="Arial" w:hAnsi="Arial"/>
                <w:sz w:val="18"/>
                <w:szCs w:val="18"/>
                <w:color w:val="auto"/>
              </w:rPr>
              <w:t>JRSA — hybrid</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80" w:type="dxa"/>
            <w:vAlign w:val="bottom"/>
            <w:tcBorders>
              <w:bottom w:val="single" w:sz="8" w:color="CFF0FC"/>
            </w:tcBorders>
            <w:gridSpan w:val="2"/>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upgraded IMAX Theater Systems</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1,235</w:t>
            </w:r>
          </w:p>
        </w:tc>
        <w:tc>
          <w:tcPr>
            <w:tcW w:w="16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1,437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60" w:type="dxa"/>
            <w:vAlign w:val="bottom"/>
            <w:gridSpan w:val="2"/>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line="196" w:lineRule="exact"/>
              <w:rPr>
                <w:sz w:val="20"/>
                <w:szCs w:val="20"/>
                <w:color w:val="auto"/>
              </w:rPr>
            </w:pPr>
            <w:r>
              <w:rPr>
                <w:rFonts w:ascii="Arial" w:cs="Arial" w:eastAsia="Arial" w:hAnsi="Arial"/>
                <w:sz w:val="18"/>
                <w:szCs w:val="18"/>
                <w:color w:val="auto"/>
              </w:rPr>
              <w:t>2,757</w:t>
            </w:r>
          </w:p>
        </w:tc>
        <w:tc>
          <w:tcPr>
            <w:tcW w:w="1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14,509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-1093470</wp:posOffset>
            </wp:positionV>
            <wp:extent cx="85725"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-1093470</wp:posOffset>
            </wp:positionV>
            <wp:extent cx="10287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-1093470</wp:posOffset>
            </wp:positionV>
            <wp:extent cx="7747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-448945</wp:posOffset>
            </wp:positionV>
            <wp:extent cx="111125" cy="1625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-448945</wp:posOffset>
            </wp:positionV>
            <wp:extent cx="128270" cy="16256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-448945</wp:posOffset>
            </wp:positionV>
            <wp:extent cx="102870" cy="1625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-448945</wp:posOffset>
            </wp:positionV>
            <wp:extent cx="93980" cy="1625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55" w:lineRule="exact"/>
        <w:rPr>
          <w:sz w:val="20"/>
          <w:szCs w:val="20"/>
          <w:color w:val="auto"/>
        </w:rPr>
      </w:pPr>
    </w:p>
    <w:p>
      <w:pPr>
        <w:jc w:val="both"/>
        <w:ind w:left="380" w:right="20" w:hanging="372"/>
        <w:spacing w:after="0" w:line="248"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1" w:lineRule="exact"/>
        <w:rPr>
          <w:rFonts w:ascii="Arial" w:cs="Arial" w:eastAsia="Arial" w:hAnsi="Arial"/>
          <w:sz w:val="18"/>
          <w:szCs w:val="18"/>
          <w:color w:val="auto"/>
        </w:rPr>
      </w:pPr>
    </w:p>
    <w:p>
      <w:pPr>
        <w:jc w:val="both"/>
        <w:ind w:left="380" w:hanging="372"/>
        <w:spacing w:after="0" w:line="243"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three IMAX Xenon Theater Systems that were relocated from their original location, which are subject to sales and sales-type lease arrangements (2021 — nil). When a theater system under a sales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47"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The average revenue per IMAX Theater System under sale and sales-type lease arrangements varies depending upon the number of IMAX Theater System commitments with a single respective exhibitor, an exhibitor’s location and various other factors.</w:t>
      </w:r>
    </w:p>
    <w:p>
      <w:pPr>
        <w:spacing w:after="0" w:line="144"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For the three months ended June 30, 2022, IMAX Systems revenue and gross margin decreased by $7.8 million (48%) and $5.1 million (49%), respectively, when compared to the same period in the prior year. The lower level of revenue and gross margin is the result of seven fewer IMAX Theater System installations, including upgrades, in the current period and a decrease of $0.3 million in Finance Income associated with theaters in Russia, Ukraine, and Belarus, which were placed on nonaccrual status due to the ongoing Russia-Ukraine conflict.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7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For the three months ended June 30, 2022, IMAX Maintenance segment revenues and gross margin increased by $3.4 million (31%) and $2.3 million (45%), respectively, when compared to the same period in the prior year, due to the global reopening of the IMAX theater network amidst the continuing recovery of the theatrical exhibition industry from earlier stages of the COVID-19 pandemic. The overall increase in IMAX Maintenance segment revenues and gross margin is partially offset by a decrease of $0.5 million in revenue associated with theaters in Russia, Ukraine, and Belarus, which were placed on nonaccrual status due to the ongoing Russia-Ukraine conflict.</w:t>
      </w:r>
    </w:p>
    <w:p>
      <w:pPr>
        <w:spacing w:after="0" w:line="162"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71"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three months ended June 30, 2022, Film Distribution and Post-Production revenues increased by $0.4 million (24%) while gross margin decreased by $1.1 million, when compared to the same period in the prior year. The margin loss in the second quarter of 2022 is primarily the result of costs incurred to market and distribute live events and documentary content during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5" w:name="page66"/>
    <w:bookmarkEnd w:id="65"/>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60" w:firstLine="224"/>
        <w:spacing w:after="0" w:line="261" w:lineRule="auto"/>
        <w:rPr>
          <w:sz w:val="20"/>
          <w:szCs w:val="20"/>
          <w:color w:val="auto"/>
        </w:rPr>
      </w:pPr>
      <w:r>
        <w:rPr>
          <w:rFonts w:ascii="Arial" w:cs="Arial" w:eastAsia="Arial" w:hAnsi="Arial"/>
          <w:sz w:val="18"/>
          <w:szCs w:val="18"/>
          <w:color w:val="auto"/>
        </w:rPr>
        <w:t>The following table presents information about the Company's Selling, General and Administrative Expenses for the three months ended June 30, 2022 and 2021:</w:t>
      </w:r>
    </w:p>
    <w:p>
      <w:pPr>
        <w:sectPr>
          <w:pgSz w:w="11900" w:h="16838" w:orient="portrait"/>
          <w:cols w:equalWidth="0" w:num="1">
            <w:col w:w="11300"/>
          </w:cols>
          <w:pgMar w:left="320" w:top="503" w:right="27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of U.S. Dollars)</w:t>
      </w:r>
    </w:p>
    <w:p>
      <w:pPr>
        <w:spacing w:after="0" w:line="21" w:lineRule="exact"/>
        <w:rPr>
          <w:sz w:val="20"/>
          <w:szCs w:val="20"/>
          <w:color w:val="auto"/>
        </w:rPr>
      </w:pPr>
    </w:p>
    <w:p>
      <w:pPr>
        <w:ind w:left="20" w:right="1300"/>
        <w:spacing w:after="0" w:line="211" w:lineRule="auto"/>
        <w:rPr>
          <w:sz w:val="20"/>
          <w:szCs w:val="20"/>
          <w:color w:val="auto"/>
        </w:rPr>
      </w:pPr>
      <w:r>
        <w:rPr>
          <w:rFonts w:ascii="Arial" w:cs="Arial" w:eastAsia="Arial" w:hAnsi="Arial"/>
          <w:sz w:val="17"/>
          <w:szCs w:val="17"/>
          <w:color w:val="auto"/>
        </w:rPr>
        <w:t>Total selling, general and administrative expenses Less: Share-based compensation</w:t>
      </w:r>
      <w:r>
        <w:rPr>
          <w:rFonts w:ascii="Arial" w:cs="Arial" w:eastAsia="Arial" w:hAnsi="Arial"/>
          <w:sz w:val="23"/>
          <w:szCs w:val="23"/>
          <w:color w:val="auto"/>
          <w:vertAlign w:val="superscript"/>
        </w:rPr>
        <w:t>(1)</w:t>
      </w:r>
    </w:p>
    <w:p>
      <w:pPr>
        <w:spacing w:after="0" w:line="1" w:lineRule="exact"/>
        <w:rPr>
          <w:sz w:val="20"/>
          <w:szCs w:val="20"/>
          <w:color w:val="auto"/>
        </w:rPr>
      </w:pPr>
    </w:p>
    <w:p>
      <w:pPr>
        <w:ind w:left="20"/>
        <w:spacing w:after="0" w:line="226" w:lineRule="auto"/>
        <w:rPr>
          <w:sz w:val="20"/>
          <w:szCs w:val="20"/>
          <w:color w:val="auto"/>
        </w:rPr>
      </w:pPr>
      <w:r>
        <w:rPr>
          <w:rFonts w:ascii="Arial" w:cs="Arial" w:eastAsia="Arial" w:hAnsi="Arial"/>
          <w:sz w:val="18"/>
          <w:szCs w:val="18"/>
          <w:color w:val="auto"/>
        </w:rPr>
        <w:t>Total selling, general and administrative expenses, excluding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5123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262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37,095</w:t>
            </w:r>
          </w:p>
        </w:tc>
        <w:tc>
          <w:tcPr>
            <w:tcW w:w="280" w:type="dxa"/>
            <w:vAlign w:val="bottom"/>
          </w:tcPr>
          <w:p>
            <w:pPr>
              <w:spacing w:after="0"/>
              <w:rPr>
                <w:sz w:val="15"/>
                <w:szCs w:val="15"/>
                <w:color w:val="auto"/>
              </w:rPr>
            </w:pP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28,807</w:t>
            </w:r>
          </w:p>
        </w:tc>
        <w:tc>
          <w:tcPr>
            <w:tcW w:w="260" w:type="dxa"/>
            <w:vAlign w:val="bottom"/>
          </w:tcPr>
          <w:p>
            <w:pPr>
              <w:spacing w:after="0"/>
              <w:rPr>
                <w:sz w:val="15"/>
                <w:szCs w:val="15"/>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8,288</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29,832</w:t>
            </w:r>
          </w:p>
        </w:tc>
        <w:tc>
          <w:tcPr>
            <w:tcW w:w="2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22,411</w:t>
            </w:r>
          </w:p>
        </w:tc>
        <w:tc>
          <w:tcPr>
            <w:tcW w:w="26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7,421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-496570</wp:posOffset>
            </wp:positionV>
            <wp:extent cx="7132320" cy="1289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-239395</wp:posOffset>
            </wp:positionV>
            <wp:extent cx="7132320" cy="24003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900" w:space="240"/>
            <w:col w:w="6160"/>
          </w:cols>
          <w:pgMar w:left="320" w:top="503" w:right="279" w:bottom="1440" w:gutter="0" w:footer="0" w:header="0"/>
          <w:type w:val="continuous"/>
        </w:sectPr>
      </w:pPr>
    </w:p>
    <w:p>
      <w:pPr>
        <w:spacing w:after="0" w:line="110" w:lineRule="exact"/>
        <w:rPr>
          <w:sz w:val="20"/>
          <w:szCs w:val="20"/>
          <w:color w:val="auto"/>
        </w:rPr>
      </w:pPr>
    </w:p>
    <w:p>
      <w:pPr>
        <w:ind w:left="520" w:right="36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portion of share-based compensation expense is recognized within Cost and Expenses Applicable to Revenue and Research and Development. (See Note 12 of Notes to Condensed Consolidated Financial Statements.)</w:t>
      </w:r>
    </w:p>
    <w:p>
      <w:pPr>
        <w:spacing w:after="0" w:line="117" w:lineRule="exact"/>
        <w:rPr>
          <w:sz w:val="20"/>
          <w:szCs w:val="20"/>
          <w:color w:val="auto"/>
        </w:rPr>
      </w:pPr>
    </w:p>
    <w:p>
      <w:pPr>
        <w:jc w:val="both"/>
        <w:ind w:right="60" w:firstLine="224"/>
        <w:spacing w:after="0" w:line="228" w:lineRule="auto"/>
        <w:rPr>
          <w:sz w:val="20"/>
          <w:szCs w:val="20"/>
          <w:color w:val="auto"/>
        </w:rPr>
      </w:pPr>
      <w:r>
        <w:rPr>
          <w:rFonts w:ascii="Arial" w:cs="Arial" w:eastAsia="Arial" w:hAnsi="Arial"/>
          <w:sz w:val="18"/>
          <w:szCs w:val="18"/>
          <w:color w:val="auto"/>
        </w:rPr>
        <w:t>The increase in Selling, General and Administrative Expenses reflects the Company's higher level of business activity in the current period, as the effects of the COVID-19 pandemic continue to subside, resulting in higher staff costs, marketing expenses, and facilities-related expenses. Also influencing the comparison to the prior period was $2.8 million resulting from unfavorable foreign currency exchange rate movements and $1.4 million of benefits from the Canada Emergency Wage Subsidy (“CEWS”) program that were recognized in the second quarter of 2021 but were not repeated in the current year.</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ind w:right="60" w:firstLine="224"/>
        <w:spacing w:after="0" w:line="228"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IMAX theater network.</w:t>
      </w:r>
    </w:p>
    <w:p>
      <w:pPr>
        <w:spacing w:after="0" w:line="151" w:lineRule="exact"/>
        <w:rPr>
          <w:sz w:val="20"/>
          <w:szCs w:val="20"/>
          <w:color w:val="auto"/>
        </w:rPr>
      </w:pPr>
    </w:p>
    <w:p>
      <w:pPr>
        <w:jc w:val="both"/>
        <w:ind w:right="80" w:firstLine="224"/>
        <w:spacing w:after="0" w:line="261" w:lineRule="auto"/>
        <w:rPr>
          <w:sz w:val="20"/>
          <w:szCs w:val="20"/>
          <w:color w:val="auto"/>
        </w:rPr>
      </w:pPr>
      <w:r>
        <w:rPr>
          <w:rFonts w:ascii="Arial" w:cs="Arial" w:eastAsia="Arial" w:hAnsi="Arial"/>
          <w:sz w:val="18"/>
          <w:szCs w:val="18"/>
          <w:color w:val="auto"/>
        </w:rPr>
        <w:t>For the three months ended June 30, 2022, Research and Development expenses decreased by $0.8 million (38%), when compared to the same period in the prior year.</w:t>
      </w:r>
    </w:p>
    <w:p>
      <w:pPr>
        <w:spacing w:after="0" w:line="130" w:lineRule="exact"/>
        <w:rPr>
          <w:sz w:val="20"/>
          <w:szCs w:val="20"/>
          <w:color w:val="auto"/>
        </w:rPr>
      </w:pPr>
    </w:p>
    <w:p>
      <w:pPr>
        <w:jc w:val="both"/>
        <w:ind w:right="60" w:firstLine="224"/>
        <w:spacing w:after="0" w:line="246" w:lineRule="auto"/>
        <w:rPr>
          <w:sz w:val="20"/>
          <w:szCs w:val="20"/>
          <w:color w:val="auto"/>
        </w:rPr>
      </w:pPr>
      <w:r>
        <w:rPr>
          <w:rFonts w:ascii="Arial" w:cs="Arial" w:eastAsia="Arial" w:hAnsi="Arial"/>
          <w:sz w:val="17"/>
          <w:szCs w:val="17"/>
          <w:color w:val="auto"/>
        </w:rPr>
        <w:t>The Company intends to continue research and development to further evolve its end-to-end technology. This includes bringing connectivity to the Company’s global theater network and experimenting with live and interactive events worldwide; developing new IMAX film cameras and certifying additional digital cameras; further improving its proprietary DMR process for the delivery of content for both theatrical and home entertainment; and further improving the reliability of its projectors, as well as enhancing the Company’s image and sound quality.</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 Net</w:t>
      </w:r>
    </w:p>
    <w:p>
      <w:pPr>
        <w:spacing w:after="0" w:line="171" w:lineRule="exact"/>
        <w:rPr>
          <w:sz w:val="20"/>
          <w:szCs w:val="20"/>
          <w:color w:val="auto"/>
        </w:rPr>
      </w:pPr>
    </w:p>
    <w:p>
      <w:pPr>
        <w:jc w:val="both"/>
        <w:ind w:right="60" w:firstLine="224"/>
        <w:spacing w:after="0" w:line="248" w:lineRule="auto"/>
        <w:rPr>
          <w:sz w:val="20"/>
          <w:szCs w:val="20"/>
          <w:color w:val="auto"/>
        </w:rPr>
      </w:pPr>
      <w:r>
        <w:rPr>
          <w:rFonts w:ascii="Arial" w:cs="Arial" w:eastAsia="Arial" w:hAnsi="Arial"/>
          <w:sz w:val="18"/>
          <w:szCs w:val="18"/>
          <w:color w:val="auto"/>
        </w:rPr>
        <w:t>For the three months ended June 30, 2022, the Company recorded current expected credit losses of $0.1 million, principally due to additional reserves established for theater customers in Greater China, partially offset by the reversal of a previously recorded credit loss provision following the restructuring of an exhibitor contract in the second quarter of 2022.</w:t>
      </w:r>
    </w:p>
    <w:p>
      <w:pPr>
        <w:spacing w:after="0" w:line="155" w:lineRule="exact"/>
        <w:rPr>
          <w:sz w:val="20"/>
          <w:szCs w:val="20"/>
          <w:color w:val="auto"/>
        </w:rPr>
      </w:pPr>
    </w:p>
    <w:p>
      <w:pPr>
        <w:jc w:val="both"/>
        <w:ind w:right="60" w:firstLine="274"/>
        <w:spacing w:after="0" w:line="248"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Notes 1 and 4 of Notes to Condensed Consolidated Financial Statements.)</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3" w:right="279" w:bottom="1440" w:gutter="0" w:footer="0" w:header="0"/>
          <w:type w:val="continuous"/>
        </w:sectPr>
      </w:pPr>
    </w:p>
    <w:bookmarkStart w:id="66" w:name="page67"/>
    <w:bookmarkEnd w:id="66"/>
    <w:p>
      <w:pPr>
        <w:ind w:left="100"/>
        <w:spacing w:after="0"/>
        <w:rPr>
          <w:sz w:val="20"/>
          <w:szCs w:val="20"/>
          <w:color w:val="auto"/>
        </w:rPr>
      </w:pPr>
      <w:r>
        <w:rPr>
          <w:rFonts w:ascii="Arial" w:cs="Arial" w:eastAsia="Arial" w:hAnsi="Arial"/>
          <w:sz w:val="18"/>
          <w:szCs w:val="18"/>
          <w:b w:val="1"/>
          <w:bCs w:val="1"/>
          <w:i w:val="1"/>
          <w:iCs w:val="1"/>
          <w:color w:val="auto"/>
        </w:rPr>
        <w:t>Asset Impairment</w:t>
      </w:r>
    </w:p>
    <w:p>
      <w:pPr>
        <w:spacing w:after="0" w:line="185" w:lineRule="exact"/>
        <w:rPr>
          <w:sz w:val="20"/>
          <w:szCs w:val="20"/>
          <w:color w:val="auto"/>
        </w:rPr>
      </w:pPr>
    </w:p>
    <w:p>
      <w:pPr>
        <w:jc w:val="both"/>
        <w:ind w:firstLine="224"/>
        <w:spacing w:after="0" w:line="276" w:lineRule="auto"/>
        <w:rPr>
          <w:sz w:val="20"/>
          <w:szCs w:val="20"/>
          <w:color w:val="auto"/>
        </w:rPr>
      </w:pPr>
      <w:r>
        <w:rPr>
          <w:rFonts w:ascii="Arial" w:cs="Arial" w:eastAsia="Arial" w:hAnsi="Arial"/>
          <w:sz w:val="16"/>
          <w:szCs w:val="16"/>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Arial" w:cs="Arial" w:eastAsia="Arial" w:hAnsi="Arial"/>
          <w:sz w:val="16"/>
          <w:szCs w:val="16"/>
          <w:i w:val="1"/>
          <w:iCs w:val="1"/>
          <w:color w:val="auto"/>
        </w:rPr>
        <w:t>Mozart from Space</w:t>
      </w:r>
      <w:r>
        <w:rPr>
          <w:rFonts w:ascii="Arial" w:cs="Arial" w:eastAsia="Arial" w:hAnsi="Arial"/>
          <w:sz w:val="16"/>
          <w:szCs w:val="16"/>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spacing w:after="0" w:line="121" w:lineRule="exact"/>
        <w:rPr>
          <w:sz w:val="20"/>
          <w:szCs w:val="20"/>
          <w:color w:val="auto"/>
        </w:rPr>
      </w:pPr>
    </w:p>
    <w:p>
      <w:pPr>
        <w:ind w:left="100" w:firstLine="225"/>
        <w:spacing w:after="0" w:line="261" w:lineRule="auto"/>
        <w:rPr>
          <w:sz w:val="20"/>
          <w:szCs w:val="20"/>
          <w:color w:val="auto"/>
        </w:rPr>
      </w:pPr>
      <w:r>
        <w:rPr>
          <w:rFonts w:ascii="Arial" w:cs="Arial" w:eastAsia="Arial" w:hAnsi="Arial"/>
          <w:sz w:val="18"/>
          <w:szCs w:val="18"/>
          <w:color w:val="auto"/>
        </w:rPr>
        <w:t xml:space="preserve">For the three months ended June 30, 2022, the Company recognized a full impairment of its RMB 30.0 million ($4.5 million) investment in </w:t>
      </w:r>
      <w:r>
        <w:rPr>
          <w:rFonts w:ascii="Arial" w:cs="Arial" w:eastAsia="Arial" w:hAnsi="Arial"/>
          <w:sz w:val="18"/>
          <w:szCs w:val="18"/>
          <w:i w:val="1"/>
          <w:iCs w:val="1"/>
          <w:color w:val="auto"/>
        </w:rPr>
        <w:t>Mozart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Space </w:t>
      </w:r>
      <w:r>
        <w:rPr>
          <w:rFonts w:ascii="Arial" w:cs="Arial" w:eastAsia="Arial" w:hAnsi="Arial"/>
          <w:sz w:val="18"/>
          <w:szCs w:val="18"/>
          <w:color w:val="auto"/>
        </w:rPr>
        <w:t>based on projected box office results and distribution costs.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three months ended June 30, 2022, interest expense was $1.3 million, representing a decrease of $0.4 million (22%) when compared to interest expense of $1.7 million during the same period of the prior year. This decrease is principally due to repayments of revolving credit facility borrowings made in the prior year.</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For the three months ended June 30, 2022, the Company recorded income tax expense of $3.1 million (2021 — $1.9 million). The Company’s effective tax rate for the three months ended June 30, 2022 of (280.2)% differs from the Canadian statutory tax rate of 26.5% primarily due to the fact that the Company recorded an additional $5.4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5"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or loss of IMAX China, as well as the impact of non-controlling interests in the activity of its Original Film Fund subsidiary. For the three months ended June 30, 2022, the net loss attributable to non-controlling interests of the Company’s subsidiaries was $1.4 million (2021 — net income of $3.1 million).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7" w:name="page68"/>
    <w:bookmarkEnd w:id="67"/>
    <w:p>
      <w:pPr>
        <w:jc w:val="right"/>
        <w:ind w:right="5720"/>
        <w:spacing w:after="0"/>
        <w:rPr>
          <w:sz w:val="20"/>
          <w:szCs w:val="20"/>
          <w:color w:val="auto"/>
        </w:rPr>
      </w:pPr>
      <w:r>
        <w:rPr>
          <w:rFonts w:ascii="Arial" w:cs="Arial" w:eastAsia="Arial" w:hAnsi="Arial"/>
          <w:sz w:val="16"/>
          <w:szCs w:val="16"/>
          <w:b w:val="1"/>
          <w:bCs w:val="1"/>
          <w:color w:val="auto"/>
        </w:rPr>
        <w:t>Results of Operations for the Six Months Ended June 30, 2022 and 2021</w:t>
      </w:r>
    </w:p>
    <w:p>
      <w:pPr>
        <w:spacing w:after="0" w:line="212" w:lineRule="exact"/>
        <w:rPr>
          <w:sz w:val="20"/>
          <w:szCs w:val="20"/>
          <w:color w:val="auto"/>
        </w:rPr>
      </w:pPr>
    </w:p>
    <w:p>
      <w:pPr>
        <w:jc w:val="right"/>
        <w:ind w:right="5780"/>
        <w:spacing w:after="0"/>
        <w:rPr>
          <w:sz w:val="20"/>
          <w:szCs w:val="20"/>
          <w:color w:val="auto"/>
        </w:rPr>
      </w:pPr>
      <w:r>
        <w:rPr>
          <w:rFonts w:ascii="Arial" w:cs="Arial" w:eastAsia="Arial" w:hAnsi="Arial"/>
          <w:sz w:val="16"/>
          <w:szCs w:val="16"/>
          <w:b w:val="1"/>
          <w:bCs w:val="1"/>
          <w:i w:val="1"/>
          <w:iCs w:val="1"/>
          <w:color w:val="auto"/>
        </w:rPr>
        <w:t>Net Loss and Adjusted Net Loss Attributable to Common Shareholders</w:t>
      </w:r>
    </w:p>
    <w:p>
      <w:pPr>
        <w:spacing w:after="0" w:line="194"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following table presents the Company's net loss attributable to common shareholders and the associated per share amounts, as well as adjusted net loss attributable to common shareholders* and adjusted net loss attributable to common shareholders per share* for the six months ended June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420" w:type="dxa"/>
            <w:vAlign w:val="bottom"/>
          </w:tcPr>
          <w:p>
            <w:pPr>
              <w:ind w:left="20"/>
              <w:spacing w:after="0" w:line="133" w:lineRule="exact"/>
              <w:rPr>
                <w:sz w:val="20"/>
                <w:szCs w:val="20"/>
                <w:color w:val="auto"/>
              </w:rPr>
            </w:pPr>
            <w:r>
              <w:rPr>
                <w:rFonts w:ascii="Arial" w:cs="Arial" w:eastAsia="Arial" w:hAnsi="Arial"/>
                <w:sz w:val="14"/>
                <w:szCs w:val="14"/>
                <w:i w:val="1"/>
                <w:iCs w:val="1"/>
                <w:color w:val="auto"/>
              </w:rPr>
              <w:t>(In thousands of U.S. Dollars, except per share amounts)</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w w:val="94"/>
              </w:rPr>
              <w:t>Net Loss</w:t>
            </w:r>
          </w:p>
        </w:tc>
        <w:tc>
          <w:tcPr>
            <w:tcW w:w="120" w:type="dxa"/>
            <w:vAlign w:val="bottom"/>
          </w:tcPr>
          <w:p>
            <w:pPr>
              <w:spacing w:after="0"/>
              <w:rPr>
                <w:sz w:val="11"/>
                <w:szCs w:val="11"/>
                <w:color w:val="auto"/>
              </w:rPr>
            </w:pPr>
          </w:p>
        </w:tc>
        <w:tc>
          <w:tcPr>
            <w:tcW w:w="860" w:type="dxa"/>
            <w:vAlign w:val="bottom"/>
          </w:tcPr>
          <w:p>
            <w:pPr>
              <w:jc w:val="right"/>
              <w:ind w:right="61"/>
              <w:spacing w:after="0" w:line="133" w:lineRule="exact"/>
              <w:rPr>
                <w:sz w:val="20"/>
                <w:szCs w:val="20"/>
                <w:color w:val="auto"/>
              </w:rPr>
            </w:pPr>
            <w:r>
              <w:rPr>
                <w:rFonts w:ascii="Arial" w:cs="Arial" w:eastAsia="Arial" w:hAnsi="Arial"/>
                <w:sz w:val="14"/>
                <w:szCs w:val="14"/>
                <w:b w:val="1"/>
                <w:bCs w:val="1"/>
                <w:color w:val="auto"/>
                <w:w w:val="94"/>
              </w:rPr>
              <w:t>Per Diluted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91"/>
              </w:rPr>
              <w:t>Net Loss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4"/>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6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(16,460</w:t>
            </w:r>
          </w:p>
        </w:tc>
        <w:tc>
          <w:tcPr>
            <w:tcW w:w="3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(0.28</w:t>
            </w:r>
          </w:p>
        </w:tc>
        <w:tc>
          <w:tcPr>
            <w:tcW w:w="3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(24,051</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Adjusted 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(4,322 )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(0.07 )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(21,781 )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(0.37 )</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7"/>
          <w:szCs w:val="17"/>
          <w:color w:val="auto"/>
        </w:rPr>
        <w:t>During the six months ended June 30, 2022, the Company recorded a net non-cash provision of $6.9 million, or $0.12 per share, due to an increase in reserves given the uncertainty of collecting receivables in Russia. This provision was taken due to the ongoing conflict in Ukraine and covers substantially all of the Company's net receivable exposure in the Russian market. Excluding the impact of this provision, net loss attributable to common shareholders* was ($9.6) million, or ($0.17) per share, and adjusted net income attributable to common shareholders* was $2.6 million, or $0.04 per share. Over the past five years, Russia has represented on average approximately 3% of the GBO generated by IMAX films.</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71" w:lineRule="exact"/>
        <w:rPr>
          <w:sz w:val="20"/>
          <w:szCs w:val="20"/>
          <w:color w:val="auto"/>
        </w:rPr>
      </w:pPr>
    </w:p>
    <w:p>
      <w:pPr>
        <w:jc w:val="both"/>
        <w:ind w:firstLine="224"/>
        <w:spacing w:after="0" w:line="274" w:lineRule="auto"/>
        <w:rPr>
          <w:sz w:val="20"/>
          <w:szCs w:val="20"/>
          <w:color w:val="auto"/>
        </w:rPr>
      </w:pPr>
      <w:r>
        <w:rPr>
          <w:rFonts w:ascii="Arial" w:cs="Arial" w:eastAsia="Arial" w:hAnsi="Arial"/>
          <w:sz w:val="16"/>
          <w:szCs w:val="16"/>
          <w:color w:val="auto"/>
        </w:rPr>
        <w:t xml:space="preserve">During the six months ended June 30, 2022, the Company's revenues and gross margin increased by $44.3 million (49%) and $32.9 million (77%), respectively, when compared to same period in 2021 principally due to the strength of the GBO performance of the IMAX Technology Network through the distribution of films such as </w:t>
      </w:r>
      <w:r>
        <w:rPr>
          <w:rFonts w:ascii="Arial" w:cs="Arial" w:eastAsia="Arial" w:hAnsi="Arial"/>
          <w:sz w:val="16"/>
          <w:szCs w:val="16"/>
          <w:i w:val="1"/>
          <w:iCs w:val="1"/>
          <w:color w:val="auto"/>
        </w:rPr>
        <w:t>Top Gun: Maverick</w:t>
      </w:r>
      <w:r>
        <w:rPr>
          <w:rFonts w:ascii="Arial" w:cs="Arial" w:eastAsia="Arial" w:hAnsi="Arial"/>
          <w:sz w:val="16"/>
          <w:szCs w:val="16"/>
          <w:color w:val="auto"/>
        </w:rPr>
        <w:t xml:space="preserve">, </w:t>
      </w:r>
      <w:r>
        <w:rPr>
          <w:rFonts w:ascii="Arial" w:cs="Arial" w:eastAsia="Arial" w:hAnsi="Arial"/>
          <w:sz w:val="16"/>
          <w:szCs w:val="16"/>
          <w:i w:val="1"/>
          <w:iCs w:val="1"/>
          <w:color w:val="auto"/>
        </w:rPr>
        <w:t>Doctor Strange In The Multiverse of Madness</w:t>
      </w:r>
      <w:r>
        <w:rPr>
          <w:rFonts w:ascii="Arial" w:cs="Arial" w:eastAsia="Arial" w:hAnsi="Arial"/>
          <w:sz w:val="16"/>
          <w:szCs w:val="16"/>
          <w:color w:val="auto"/>
        </w:rPr>
        <w:t xml:space="preserve">, </w:t>
      </w:r>
      <w:r>
        <w:rPr>
          <w:rFonts w:ascii="Arial" w:cs="Arial" w:eastAsia="Arial" w:hAnsi="Arial"/>
          <w:sz w:val="16"/>
          <w:szCs w:val="16"/>
          <w:i w:val="1"/>
          <w:iCs w:val="1"/>
          <w:color w:val="auto"/>
        </w:rPr>
        <w:t>The Batman</w:t>
      </w:r>
      <w:r>
        <w:rPr>
          <w:rFonts w:ascii="Arial" w:cs="Arial" w:eastAsia="Arial" w:hAnsi="Arial"/>
          <w:sz w:val="16"/>
          <w:szCs w:val="16"/>
          <w:color w:val="auto"/>
        </w:rPr>
        <w:t xml:space="preserve">, </w:t>
      </w:r>
      <w:r>
        <w:rPr>
          <w:rFonts w:ascii="Arial" w:cs="Arial" w:eastAsia="Arial" w:hAnsi="Arial"/>
          <w:sz w:val="16"/>
          <w:szCs w:val="16"/>
          <w:i w:val="1"/>
          <w:iCs w:val="1"/>
          <w:color w:val="auto"/>
        </w:rPr>
        <w:t>Jurassic World: Dominion, The Battle at</w:t>
      </w:r>
      <w:r>
        <w:rPr>
          <w:rFonts w:ascii="Arial" w:cs="Arial" w:eastAsia="Arial" w:hAnsi="Arial"/>
          <w:sz w:val="16"/>
          <w:szCs w:val="16"/>
          <w:color w:val="auto"/>
        </w:rPr>
        <w:t xml:space="preserve"> </w:t>
      </w:r>
      <w:r>
        <w:rPr>
          <w:rFonts w:ascii="Arial" w:cs="Arial" w:eastAsia="Arial" w:hAnsi="Arial"/>
          <w:sz w:val="16"/>
          <w:szCs w:val="16"/>
          <w:i w:val="1"/>
          <w:iCs w:val="1"/>
          <w:color w:val="auto"/>
        </w:rPr>
        <w:t>Lake Changjin 2</w:t>
      </w:r>
      <w:r>
        <w:rPr>
          <w:rFonts w:ascii="Arial" w:cs="Arial" w:eastAsia="Arial" w:hAnsi="Arial"/>
          <w:sz w:val="16"/>
          <w:szCs w:val="16"/>
          <w:color w:val="auto"/>
        </w:rPr>
        <w:t>,</w:t>
      </w:r>
      <w:r>
        <w:rPr>
          <w:rFonts w:ascii="Arial" w:cs="Arial" w:eastAsia="Arial" w:hAnsi="Arial"/>
          <w:sz w:val="16"/>
          <w:szCs w:val="16"/>
          <w:i w:val="1"/>
          <w:iCs w:val="1"/>
          <w:color w:val="auto"/>
        </w:rPr>
        <w:t xml:space="preserve"> Spider-Man: No Way Home</w:t>
      </w:r>
      <w:r>
        <w:rPr>
          <w:rFonts w:ascii="Arial" w:cs="Arial" w:eastAsia="Arial" w:hAnsi="Arial"/>
          <w:sz w:val="16"/>
          <w:szCs w:val="16"/>
          <w:color w:val="auto"/>
        </w:rPr>
        <w:t>,</w:t>
      </w:r>
      <w:r>
        <w:rPr>
          <w:rFonts w:ascii="Arial" w:cs="Arial" w:eastAsia="Arial" w:hAnsi="Arial"/>
          <w:sz w:val="16"/>
          <w:szCs w:val="16"/>
          <w:i w:val="1"/>
          <w:iCs w:val="1"/>
          <w:color w:val="auto"/>
        </w:rPr>
        <w:t xml:space="preserve"> Fantastic Beasts: The Secrets of Dumbledore</w:t>
      </w:r>
      <w:r>
        <w:rPr>
          <w:rFonts w:ascii="Arial" w:cs="Arial" w:eastAsia="Arial" w:hAnsi="Arial"/>
          <w:sz w:val="16"/>
          <w:szCs w:val="16"/>
          <w:color w:val="auto"/>
        </w:rPr>
        <w:t>, and</w:t>
      </w:r>
      <w:r>
        <w:rPr>
          <w:rFonts w:ascii="Arial" w:cs="Arial" w:eastAsia="Arial" w:hAnsi="Arial"/>
          <w:sz w:val="16"/>
          <w:szCs w:val="16"/>
          <w:i w:val="1"/>
          <w:iCs w:val="1"/>
          <w:color w:val="auto"/>
        </w:rPr>
        <w:t xml:space="preserve"> Uncharted</w:t>
      </w:r>
      <w:r>
        <w:rPr>
          <w:rFonts w:ascii="Arial" w:cs="Arial" w:eastAsia="Arial" w:hAnsi="Arial"/>
          <w:sz w:val="16"/>
          <w:szCs w:val="16"/>
          <w:color w:val="auto"/>
        </w:rPr>
        <w:t>. Also contributing to the improvement versus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is a $6.3 million (71%) improvement in IMAX Maintenance gross margin due to the global reopening of the IMAX theater network amidst the continuing recovery of the theatrical exhibition industry from earlier stages of the COVID-19 pandemic. However, these factors were partially offset by a lower level of IMAX Theater System installations in the period due, in part, to the impact of COVID-related restrictions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95123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7" w:lineRule="exact"/>
        <w:rPr>
          <w:sz w:val="20"/>
          <w:szCs w:val="20"/>
          <w:color w:val="auto"/>
        </w:rPr>
      </w:pPr>
    </w:p>
    <w:p>
      <w:pPr>
        <w:ind w:left="380" w:right="20" w:hanging="372"/>
        <w:spacing w:after="0" w:line="261" w:lineRule="auto"/>
        <w:tabs>
          <w:tab w:leader="none" w:pos="3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8" w:name="page69"/>
    <w:bookmarkEnd w:id="68"/>
    <w:p>
      <w:pPr>
        <w:ind w:right="20" w:firstLine="224"/>
        <w:spacing w:after="0" w:line="261" w:lineRule="auto"/>
        <w:rPr>
          <w:sz w:val="20"/>
          <w:szCs w:val="20"/>
          <w:color w:val="auto"/>
        </w:rPr>
      </w:pPr>
      <w:r>
        <w:rPr>
          <w:rFonts w:ascii="Arial" w:cs="Arial" w:eastAsia="Arial" w:hAnsi="Arial"/>
          <w:sz w:val="18"/>
          <w:szCs w:val="18"/>
          <w:color w:val="auto"/>
        </w:rPr>
        <w:t>The following table presents the Company’s revenue and gross margin (margin loss) by category and reportable segment for the six months ended June 30,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Gross Margin (Margin Loss)</w:t>
            </w:r>
          </w:p>
        </w:tc>
        <w:tc>
          <w:tcPr>
            <w:tcW w:w="100" w:type="dxa"/>
            <w:vAlign w:val="bottom"/>
          </w:tcPr>
          <w:p>
            <w:pPr>
              <w:spacing w:after="0"/>
              <w:rPr>
                <w:sz w:val="16"/>
                <w:szCs w:val="16"/>
                <w:color w:val="auto"/>
              </w:rPr>
            </w:pPr>
          </w:p>
        </w:tc>
      </w:tr>
      <w:tr>
        <w:trPr>
          <w:trHeight w:val="169"/>
        </w:trPr>
        <w:tc>
          <w:tcPr>
            <w:tcW w:w="5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IMAX Technology Network</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IMAX DMR</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47,145</w:t>
            </w:r>
          </w:p>
        </w:tc>
        <w:tc>
          <w:tcPr>
            <w:tcW w:w="5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23,737</w:t>
            </w:r>
          </w:p>
        </w:tc>
        <w:tc>
          <w:tcPr>
            <w:tcW w:w="5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31,557</w:t>
            </w:r>
          </w:p>
        </w:tc>
        <w:tc>
          <w:tcPr>
            <w:tcW w:w="3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15,112</w:t>
            </w:r>
          </w:p>
        </w:tc>
        <w:tc>
          <w:tcPr>
            <w:tcW w:w="100" w:type="dxa"/>
            <w:vAlign w:val="bottom"/>
          </w:tcPr>
          <w:p>
            <w:pPr>
              <w:spacing w:after="0"/>
              <w:rPr>
                <w:sz w:val="17"/>
                <w:szCs w:val="17"/>
                <w:color w:val="auto"/>
              </w:rPr>
            </w:pPr>
          </w:p>
        </w:tc>
      </w:tr>
      <w:tr>
        <w:trPr>
          <w:trHeight w:val="203"/>
        </w:trPr>
        <w:tc>
          <w:tcPr>
            <w:tcW w:w="568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JRSA, contingent rent</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31,168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16,221</w:t>
            </w:r>
          </w:p>
        </w:tc>
        <w:tc>
          <w:tcPr>
            <w:tcW w:w="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19,087</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78,313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39,958</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50,644</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18,785</w:t>
            </w:r>
          </w:p>
        </w:tc>
        <w:tc>
          <w:tcPr>
            <w:tcW w:w="100" w:type="dxa"/>
            <w:vAlign w:val="bottom"/>
          </w:tcPr>
          <w:p>
            <w:pPr>
              <w:spacing w:after="0"/>
              <w:rPr>
                <w:sz w:val="17"/>
                <w:szCs w:val="17"/>
                <w:color w:val="auto"/>
              </w:rPr>
            </w:pPr>
          </w:p>
        </w:tc>
      </w:tr>
      <w:tr>
        <w:trPr>
          <w:trHeight w:val="196"/>
        </w:trPr>
        <w:tc>
          <w:tcPr>
            <w:tcW w:w="5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IMAX Technology Sales and Maintenance</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ind w:left="120"/>
              <w:spacing w:after="0" w:line="202" w:lineRule="exact"/>
              <w:rPr>
                <w:sz w:val="20"/>
                <w:szCs w:val="20"/>
                <w:color w:val="auto"/>
              </w:rPr>
            </w:pPr>
            <w:r>
              <w:rPr>
                <w:rFonts w:ascii="Arial" w:cs="Arial" w:eastAsia="Arial" w:hAnsi="Arial"/>
                <w:sz w:val="17"/>
                <w:szCs w:val="17"/>
                <w:color w:val="auto"/>
              </w:rPr>
              <w:t>IMAX Systems</w:t>
            </w:r>
            <w:r>
              <w:rPr>
                <w:rFonts w:ascii="Arial" w:cs="Arial" w:eastAsia="Arial" w:hAnsi="Arial"/>
                <w:sz w:val="23"/>
                <w:szCs w:val="23"/>
                <w:color w:val="auto"/>
                <w:vertAlign w:val="superscript"/>
              </w:rPr>
              <w:t>(1)</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16,849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21,881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9,403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13,560</w:t>
            </w:r>
          </w:p>
        </w:tc>
        <w:tc>
          <w:tcPr>
            <w:tcW w:w="100" w:type="dxa"/>
            <w:vAlign w:val="bottom"/>
          </w:tcPr>
          <w:p>
            <w:pPr>
              <w:spacing w:after="0"/>
              <w:rPr>
                <w:sz w:val="17"/>
                <w:szCs w:val="17"/>
                <w:color w:val="auto"/>
              </w:rPr>
            </w:pPr>
          </w:p>
        </w:tc>
      </w:tr>
      <w:tr>
        <w:trPr>
          <w:trHeight w:val="203"/>
        </w:trPr>
        <w:tc>
          <w:tcPr>
            <w:tcW w:w="56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JRSA, fixed fees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2,740</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IMAX Maintenance</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29,625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20,141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15,237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8,898</w:t>
            </w:r>
          </w:p>
        </w:tc>
        <w:tc>
          <w:tcPr>
            <w:tcW w:w="100" w:type="dxa"/>
            <w:vAlign w:val="bottom"/>
          </w:tcPr>
          <w:p>
            <w:pPr>
              <w:spacing w:after="0"/>
              <w:rPr>
                <w:sz w:val="17"/>
                <w:szCs w:val="17"/>
                <w:color w:val="auto"/>
              </w:rPr>
            </w:pPr>
          </w:p>
        </w:tc>
      </w:tr>
      <w:tr>
        <w:trPr>
          <w:trHeight w:val="203"/>
        </w:trPr>
        <w:tc>
          <w:tcPr>
            <w:tcW w:w="568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7"/>
                <w:szCs w:val="17"/>
                <w:color w:val="auto"/>
              </w:rPr>
              <w:t>Other Theater Business</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920</w:t>
            </w:r>
          </w:p>
        </w:tc>
        <w:tc>
          <w:tcPr>
            <w:tcW w:w="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146</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49,552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45,682</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25,019</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23,166</w:t>
            </w:r>
          </w:p>
        </w:tc>
        <w:tc>
          <w:tcPr>
            <w:tcW w:w="100" w:type="dxa"/>
            <w:vAlign w:val="bottom"/>
          </w:tcPr>
          <w:p>
            <w:pPr>
              <w:spacing w:after="0"/>
              <w:rPr>
                <w:sz w:val="17"/>
                <w:szCs w:val="17"/>
                <w:color w:val="auto"/>
              </w:rPr>
            </w:pPr>
          </w:p>
        </w:tc>
      </w:tr>
      <w:tr>
        <w:trPr>
          <w:trHeight w:val="196"/>
        </w:trPr>
        <w:tc>
          <w:tcPr>
            <w:tcW w:w="56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Film Distribution and Post-Production</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3,369</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2,403</w:t>
            </w:r>
          </w:p>
        </w:tc>
        <w:tc>
          <w:tcPr>
            <w:tcW w:w="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(1,388</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Sub-total for reportable segments</w:t>
            </w: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131,234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88,043</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74,275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42,532</w:t>
            </w:r>
          </w:p>
        </w:tc>
        <w:tc>
          <w:tcPr>
            <w:tcW w:w="100" w:type="dxa"/>
            <w:vAlign w:val="bottom"/>
          </w:tcPr>
          <w:p>
            <w:pPr>
              <w:spacing w:after="0"/>
              <w:rPr>
                <w:sz w:val="17"/>
                <w:szCs w:val="17"/>
                <w:color w:val="auto"/>
              </w:rPr>
            </w:pPr>
          </w:p>
        </w:tc>
      </w:tr>
      <w:tr>
        <w:trPr>
          <w:trHeight w:val="203"/>
        </w:trPr>
        <w:tc>
          <w:tcPr>
            <w:tcW w:w="5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All Other</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2,770</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1,666</w:t>
            </w:r>
          </w:p>
        </w:tc>
        <w:tc>
          <w:tcPr>
            <w:tcW w:w="3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1,532</w:t>
            </w:r>
          </w:p>
        </w:tc>
        <w:tc>
          <w:tcPr>
            <w:tcW w:w="30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17"/>
                <w:szCs w:val="17"/>
                <w:color w:val="auto"/>
              </w:rPr>
            </w:pPr>
          </w:p>
        </w:tc>
      </w:tr>
      <w:tr>
        <w:trPr>
          <w:trHeight w:val="196"/>
        </w:trPr>
        <w:tc>
          <w:tcPr>
            <w:tcW w:w="56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134,004</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89,709</w:t>
            </w:r>
          </w:p>
        </w:tc>
        <w:tc>
          <w:tcPr>
            <w:tcW w:w="3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75,807</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42,884</w:t>
            </w:r>
          </w:p>
        </w:tc>
        <w:tc>
          <w:tcPr>
            <w:tcW w:w="10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-1633855</wp:posOffset>
            </wp:positionV>
            <wp:extent cx="77470"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-1633855</wp:posOffset>
            </wp:positionV>
            <wp:extent cx="76835"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-1633855</wp:posOffset>
            </wp:positionV>
            <wp:extent cx="68580"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-845185</wp:posOffset>
            </wp:positionV>
            <wp:extent cx="77470"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-845185</wp:posOffset>
            </wp:positionV>
            <wp:extent cx="76835"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-845185</wp:posOffset>
            </wp:positionV>
            <wp:extent cx="68580" cy="57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-570865</wp:posOffset>
            </wp:positionV>
            <wp:extent cx="77470"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-570865</wp:posOffset>
            </wp:positionV>
            <wp:extent cx="76835"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-570865</wp:posOffset>
            </wp:positionV>
            <wp:extent cx="68580"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both"/>
        <w:ind w:left="380" w:hanging="372"/>
        <w:spacing w:after="0" w:line="270"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3" w:lineRule="exact"/>
        <w:rPr>
          <w:rFonts w:ascii="Arial" w:cs="Arial" w:eastAsia="Arial" w:hAnsi="Arial"/>
          <w:sz w:val="17"/>
          <w:szCs w:val="17"/>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Theater System parts and 3D glasses.</w:t>
      </w:r>
    </w:p>
    <w:p>
      <w:pPr>
        <w:spacing w:after="0" w:line="171" w:lineRule="exact"/>
        <w:rPr>
          <w:rFonts w:ascii="Arial" w:cs="Arial" w:eastAsia="Arial" w:hAnsi="Arial"/>
          <w:sz w:val="18"/>
          <w:szCs w:val="18"/>
          <w:color w:val="auto"/>
        </w:rPr>
      </w:pPr>
    </w:p>
    <w:p>
      <w:pPr>
        <w:jc w:val="both"/>
        <w:ind w:left="380" w:hanging="372"/>
        <w:spacing w:after="0" w:line="248"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Other includes the results from IMAX Enhanced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71"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six months ended June 30, 2022, IMAX Technology Network revenues and gross margin increased by $38.4 million (96%) and $31.9 million (170%), respectively, when compared to the same period in 2021. See below for separate discussions of IMAX DMR and JRSA contingent rent segment results for the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71" w:lineRule="exact"/>
        <w:rPr>
          <w:sz w:val="20"/>
          <w:szCs w:val="20"/>
          <w:color w:val="auto"/>
        </w:rPr>
      </w:pPr>
    </w:p>
    <w:p>
      <w:pPr>
        <w:jc w:val="both"/>
        <w:ind w:firstLine="224"/>
        <w:spacing w:after="0" w:line="239" w:lineRule="auto"/>
        <w:rPr>
          <w:sz w:val="20"/>
          <w:szCs w:val="20"/>
          <w:color w:val="auto"/>
        </w:rPr>
      </w:pPr>
      <w:r>
        <w:rPr>
          <w:rFonts w:ascii="Arial" w:cs="Arial" w:eastAsia="Arial" w:hAnsi="Arial"/>
          <w:sz w:val="18"/>
          <w:szCs w:val="18"/>
          <w:color w:val="auto"/>
        </w:rPr>
        <w:t xml:space="preserve">For the six months ended June 30, 2022, IMAX DMR revenues and gross margin increased by $23.4 million (99%) and $16.4 million (109%), respectively, when compared to the same period in 2021. These increases are primarily due to the strong performance of the films distributed through the IMAX network, which resulted in a $202.1 million (92%) increase in GBO during the six months ended June 30, 2022, from $218.8 million to $420.9 million. This overall improvement in GBO for the period was partially offset by unfavorable foreign currency exchange rate movements. During the six months ended June 30, 2022, GBO was generated by the exhibition of 36 films (26 new and 10 carryovers), including </w:t>
      </w:r>
      <w:r>
        <w:rPr>
          <w:rFonts w:ascii="Arial" w:cs="Arial" w:eastAsia="Arial" w:hAnsi="Arial"/>
          <w:sz w:val="18"/>
          <w:szCs w:val="18"/>
          <w:i w:val="1"/>
          <w:iCs w:val="1"/>
          <w:color w:val="auto"/>
        </w:rPr>
        <w:t>Top Gun: Maverick</w:t>
      </w:r>
      <w:r>
        <w:rPr>
          <w:rFonts w:ascii="Arial" w:cs="Arial" w:eastAsia="Arial" w:hAnsi="Arial"/>
          <w:sz w:val="18"/>
          <w:szCs w:val="18"/>
          <w:color w:val="auto"/>
        </w:rPr>
        <w:t>, which generated GBO of $89.1 million in the period. During the six months ended June 30, 2021, GBO was generated by the exhibition of 32 films (26 new and 6 carryovers) and the re-release of classic titles.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9" w:name="page70"/>
    <w:bookmarkEnd w:id="69"/>
    <w:p>
      <w:pPr>
        <w:jc w:val="both"/>
        <w:ind w:firstLine="224"/>
        <w:spacing w:after="0" w:line="248"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especially with respect to marketing expenses. For the six months ended June 30, 2022, marketing expenses were $6.5 million, as compared to $2.6 million during the same period of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71"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For the six months ended June 30, 2022, JRSA contingent rent revenue and gross margin increased by $14.9 million (92%) and $15.4 million, respectively, when compared to the same period in 2021. These increases are largely due to a $92.8 million (74%) increase in GBO generated by theaters under joint revenue sharing arrangements during the six months ended June 30, 2022, from $125.5 million to $218.3 million.</w:t>
      </w:r>
    </w:p>
    <w:p>
      <w:pPr>
        <w:spacing w:after="0" w:line="123"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7"/>
          <w:szCs w:val="17"/>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IMAX Xenon Theater Systems to IMAX Laser Theater Systems, as well as advertising, marketing and commission costs primarily for the launch of new theaters. The level of depreciation expense in a period relative to the prior year is generally a function of the growth of the theater network and the mix of theater system configurations in the network. For the six months ended June 30, 2022, JRSA gross margin included depreciation expense of $11.1 million, which represents a $0.2 million decrease as compared to the same period of the prior year. The lower level of depreciation expense in the current period is due, in part, to the effect of lease term extensions entered into with exhibitor customers as a result of the COVID-19 global pandemic, partially offset by incremental depreciation expense associated with a 3% increase in the number of theaters operating under joint revenue sharing arrangements. For the six months ended June 30, 2022, JRSA gross margin includes advertising, marketing and commission costs of $0.4 million, which represents a decrease of $0.4 million as compared to $0.8 million in the same period of the prior year primarily due to performance-based adjustments to accrued commission costs in accordance with the Company's Global Sales Commission Policy.</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71"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six months ended June 30, 2022, IMAX Technology Sales and Maintenance revenue and gross margin increased by $3.9 million (8%) and $1.9 million (8%), respectively, when compared to the same period in the prior year. See below for separate discussions of IMAX Systems and IMAX Maintenance segment results for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0" w:name="page71"/>
    <w:bookmarkEnd w:id="70"/>
    <w:p>
      <w:pPr>
        <w:ind w:firstLine="224"/>
        <w:spacing w:after="0" w:line="261" w:lineRule="auto"/>
        <w:rPr>
          <w:sz w:val="20"/>
          <w:szCs w:val="20"/>
          <w:color w:val="auto"/>
        </w:rPr>
      </w:pPr>
      <w:r>
        <w:rPr>
          <w:rFonts w:ascii="Arial" w:cs="Arial" w:eastAsia="Arial" w:hAnsi="Arial"/>
          <w:sz w:val="18"/>
          <w:szCs w:val="18"/>
          <w:color w:val="auto"/>
        </w:rPr>
        <w:t>The following table provides detailed information about the mix of IMAX Theater Systems installed and recognized during the six months ended June 30, 2022 and 2021:</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w w:val="97"/>
              </w:rPr>
              <w:t>For the Six Months Ended June 30,</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2022</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9"/>
              </w:rPr>
              <w:t>2021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16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580" w:type="dxa"/>
            <w:vAlign w:val="bottom"/>
            <w:gridSpan w:val="2"/>
            <w:vMerge w:val="continue"/>
          </w:tcPr>
          <w:p>
            <w:pPr>
              <w:spacing w:after="0"/>
              <w:rPr>
                <w:sz w:val="10"/>
                <w:szCs w:val="10"/>
                <w:color w:val="auto"/>
              </w:rPr>
            </w:pP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0"/>
                <w:szCs w:val="10"/>
                <w:color w:val="auto"/>
              </w:rPr>
            </w:pPr>
          </w:p>
        </w:tc>
        <w:tc>
          <w:tcPr>
            <w:tcW w:w="11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Systems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66"/>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New IMAX Theater Systems:</w:t>
            </w: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580" w:type="dxa"/>
            <w:vAlign w:val="bottom"/>
            <w:gridSpan w:val="2"/>
            <w:vMerge w:val="continue"/>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5,773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5580" w:type="dxa"/>
            <w:vAlign w:val="bottom"/>
            <w:gridSpan w:val="2"/>
          </w:tcPr>
          <w:p>
            <w:pPr>
              <w:ind w:left="200"/>
              <w:spacing w:after="0" w:line="166" w:lineRule="exact"/>
              <w:rPr>
                <w:sz w:val="20"/>
                <w:szCs w:val="20"/>
                <w:color w:val="auto"/>
              </w:rPr>
            </w:pPr>
            <w:r>
              <w:rPr>
                <w:rFonts w:ascii="Arial" w:cs="Arial" w:eastAsia="Arial" w:hAnsi="Arial"/>
                <w:sz w:val="18"/>
                <w:szCs w:val="18"/>
                <w:color w:val="auto"/>
              </w:rPr>
              <w:t>JRSA — hybrid</w:t>
            </w:r>
          </w:p>
        </w:tc>
        <w:tc>
          <w:tcPr>
            <w:tcW w:w="1160" w:type="dxa"/>
            <w:vAlign w:val="bottom"/>
          </w:tcPr>
          <w:p>
            <w:pPr>
              <w:jc w:val="right"/>
              <w:spacing w:after="0" w:line="166"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8"/>
                <w:szCs w:val="18"/>
                <w:color w:val="auto"/>
              </w:rPr>
              <w:t>1,510</w:t>
            </w:r>
          </w:p>
        </w:tc>
        <w:tc>
          <w:tcPr>
            <w:tcW w:w="140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8"/>
                <w:szCs w:val="18"/>
                <w:color w:val="auto"/>
              </w:rPr>
              <w:t>2,530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5580" w:type="dxa"/>
            <w:vAlign w:val="bottom"/>
            <w:gridSpan w:val="2"/>
            <w:vMerge w:val="restart"/>
          </w:tcPr>
          <w:p>
            <w:pPr>
              <w:ind w:left="200"/>
              <w:spacing w:after="0" w:line="252" w:lineRule="exact"/>
              <w:rPr>
                <w:sz w:val="20"/>
                <w:szCs w:val="20"/>
                <w:color w:val="auto"/>
              </w:rPr>
            </w:pPr>
            <w:r>
              <w:rPr>
                <w:rFonts w:ascii="Arial" w:cs="Arial" w:eastAsia="Arial" w:hAnsi="Arial"/>
                <w:sz w:val="18"/>
                <w:szCs w:val="18"/>
                <w:color w:val="auto"/>
              </w:rPr>
              <w:t>Total new IMAX Theater Systems</w:t>
            </w:r>
            <w:r>
              <w:rPr>
                <w:rFonts w:ascii="Arial" w:cs="Arial" w:eastAsia="Arial" w:hAnsi="Arial"/>
                <w:sz w:val="24"/>
                <w:szCs w:val="24"/>
                <w:color w:val="auto"/>
                <w:vertAlign w:val="superscript"/>
              </w:rPr>
              <w:t>(2)</w:t>
            </w:r>
          </w:p>
        </w:tc>
        <w:tc>
          <w:tcPr>
            <w:tcW w:w="11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580" w:type="dxa"/>
            <w:vAlign w:val="bottom"/>
            <w:gridSpan w:val="2"/>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7,283</w:t>
            </w:r>
          </w:p>
        </w:tc>
        <w:tc>
          <w:tcPr>
            <w:tcW w:w="28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CFF0FC"/>
          </w:tcPr>
          <w:p>
            <w:pPr>
              <w:spacing w:after="0"/>
              <w:rPr>
                <w:sz w:val="17"/>
                <w:szCs w:val="17"/>
                <w:color w:val="auto"/>
              </w:rPr>
            </w:pPr>
          </w:p>
        </w:tc>
        <w:tc>
          <w:tcPr>
            <w:tcW w:w="40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IMAX Theater System upgrades:</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Sale and sales-type lease arrangements</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2,908</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1,437</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JRSA — hybrid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upgraded IMAX Theater Systems</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2,908</w:t>
            </w:r>
          </w:p>
        </w:tc>
        <w:tc>
          <w:tcPr>
            <w:tcW w:w="2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Total</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10,191</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19,767</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CFF0FC"/>
              <w:bottom w:val="single" w:sz="8" w:color="auto"/>
            </w:tcBorders>
          </w:tcPr>
          <w:p>
            <w:pPr>
              <w:spacing w:after="0"/>
              <w:rPr>
                <w:sz w:val="17"/>
                <w:szCs w:val="17"/>
                <w:color w:val="auto"/>
              </w:rPr>
            </w:pPr>
          </w:p>
        </w:tc>
        <w:tc>
          <w:tcPr>
            <w:tcW w:w="408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-1619885</wp:posOffset>
            </wp:positionV>
            <wp:extent cx="7063740" cy="12890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06374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063740" cy="13716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-433705</wp:posOffset>
            </wp:positionV>
            <wp:extent cx="76835"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-433705</wp:posOffset>
            </wp:positionV>
            <wp:extent cx="68580"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-433705</wp:posOffset>
            </wp:positionV>
            <wp:extent cx="68580"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-433705</wp:posOffset>
            </wp:positionV>
            <wp:extent cx="68580" cy="57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7683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-153670</wp:posOffset>
            </wp:positionV>
            <wp:extent cx="7683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685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-153670</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left="380" w:right="20" w:hanging="372"/>
        <w:spacing w:after="0" w:line="248"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1" w:lineRule="exact"/>
        <w:rPr>
          <w:rFonts w:ascii="Arial" w:cs="Arial" w:eastAsia="Arial" w:hAnsi="Arial"/>
          <w:sz w:val="18"/>
          <w:szCs w:val="18"/>
          <w:color w:val="auto"/>
        </w:rPr>
      </w:pPr>
    </w:p>
    <w:p>
      <w:pPr>
        <w:jc w:val="both"/>
        <w:ind w:left="380" w:hanging="372"/>
        <w:spacing w:after="0" w:line="24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three IMAX Xenon Theater Systems that were relocated from their original location, which are subject to sales and sales-type lease arrangements (2021 — nil). When a theater system under a sales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61"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The average revenue per IMAX Theater System under sale and sales-type lease arrangements varies depending upon the number of IMAX Theater System commitments with a single respective exhibitor, an exhibitor’s location and various other factors. The average revenue per new IMAX Theater System under sale and sales-type lease arrangements, excluding relocations, was $1.2 million for the six months ended June 30, 2022, as compared to $1.4 million during the same period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71"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For the six months ended June 30, 2022, IMAX Systems revenue and gross margin decreased by $5.0 million (23%) and $4.2 million (31%), respectively, when compared to the same period of the prior year. The lower level of revenue and gross margin is the result of five fewer IMAX Theater System installations, including upgrades, in the current period and a decrease of $0.5 million in Finance Income associated with theaters in Russia, Ukraine, and Belarus, which were placed on nonaccrual status due to the ongoing Russia-Ukraine conflict.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7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For the six months ended June 30, 2022, IMAX Maintenance segment revenues and gross margin increased by $9.5 million (47%) and $6.3 million (71%), respectively, when compared to the same period in the prior year, due to the global reopening of the IMAX theater network amidst the continuing recovery of the theatrical exhibition industry from earlier stages of the COVID-19 pandemic. The overall increase in IMAX Maintenance segment revenues and gross margin is partially offset by a decrease of $0.8 million in revenue associated with theaters in Russia, Ukraine, and Belarus, which were placed on nonaccrual status due to the ongoing Russia-Ukraine conflict.</w:t>
      </w:r>
    </w:p>
    <w:p>
      <w:pPr>
        <w:spacing w:after="0" w:line="149"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1" w:name="page72"/>
    <w:bookmarkEnd w:id="71"/>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85" w:lineRule="exact"/>
        <w:rPr>
          <w:sz w:val="20"/>
          <w:szCs w:val="20"/>
          <w:color w:val="auto"/>
        </w:rPr>
      </w:pPr>
    </w:p>
    <w:p>
      <w:pPr>
        <w:jc w:val="both"/>
        <w:ind w:right="60" w:firstLine="224"/>
        <w:spacing w:after="0" w:line="248" w:lineRule="auto"/>
        <w:rPr>
          <w:sz w:val="20"/>
          <w:szCs w:val="20"/>
          <w:color w:val="auto"/>
        </w:rPr>
      </w:pPr>
      <w:r>
        <w:rPr>
          <w:rFonts w:ascii="Arial" w:cs="Arial" w:eastAsia="Arial" w:hAnsi="Arial"/>
          <w:sz w:val="18"/>
          <w:szCs w:val="18"/>
          <w:color w:val="auto"/>
        </w:rPr>
        <w:t>For the six months ended June 30, 2022, Film Distribution and Post-Production revenues increased by $1.0 million (40%) while gross margin decreased by $2.0 million, respectively, when compared to the same period of the prior year. The margin loss is primarily the result of costs incurred to market and distribute live events and documentary content during the period.</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right="60" w:firstLine="224"/>
        <w:spacing w:after="0" w:line="261" w:lineRule="auto"/>
        <w:rPr>
          <w:sz w:val="20"/>
          <w:szCs w:val="20"/>
          <w:color w:val="auto"/>
        </w:rPr>
      </w:pPr>
      <w:r>
        <w:rPr>
          <w:rFonts w:ascii="Arial" w:cs="Arial" w:eastAsia="Arial" w:hAnsi="Arial"/>
          <w:sz w:val="18"/>
          <w:szCs w:val="18"/>
          <w:color w:val="auto"/>
        </w:rPr>
        <w:t>The following table presents information about the Company's Selling, General and Administrative Expenses for the six months ended June 30, 2022 and 2021:</w:t>
      </w:r>
    </w:p>
    <w:p>
      <w:pPr>
        <w:sectPr>
          <w:pgSz w:w="11900" w:h="16838" w:orient="portrait"/>
          <w:cols w:equalWidth="0" w:num="1">
            <w:col w:w="11300"/>
          </w:cols>
          <w:pgMar w:left="320" w:top="503" w:right="2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of U.S. Dollars)</w:t>
      </w:r>
    </w:p>
    <w:p>
      <w:pPr>
        <w:spacing w:after="0" w:line="21" w:lineRule="exact"/>
        <w:rPr>
          <w:sz w:val="20"/>
          <w:szCs w:val="20"/>
          <w:color w:val="auto"/>
        </w:rPr>
      </w:pPr>
    </w:p>
    <w:p>
      <w:pPr>
        <w:ind w:left="20" w:right="1300"/>
        <w:spacing w:after="0" w:line="211" w:lineRule="auto"/>
        <w:rPr>
          <w:sz w:val="20"/>
          <w:szCs w:val="20"/>
          <w:color w:val="auto"/>
        </w:rPr>
      </w:pPr>
      <w:r>
        <w:rPr>
          <w:rFonts w:ascii="Arial" w:cs="Arial" w:eastAsia="Arial" w:hAnsi="Arial"/>
          <w:sz w:val="17"/>
          <w:szCs w:val="17"/>
          <w:color w:val="auto"/>
        </w:rPr>
        <w:t>Total selling, general and administrative expenses Less: Share-based compensation</w:t>
      </w:r>
      <w:r>
        <w:rPr>
          <w:rFonts w:ascii="Arial" w:cs="Arial" w:eastAsia="Arial" w:hAnsi="Arial"/>
          <w:sz w:val="23"/>
          <w:szCs w:val="23"/>
          <w:color w:val="auto"/>
          <w:vertAlign w:val="superscript"/>
        </w:rPr>
        <w:t>(1)</w:t>
      </w:r>
    </w:p>
    <w:p>
      <w:pPr>
        <w:spacing w:after="0" w:line="1" w:lineRule="exact"/>
        <w:rPr>
          <w:sz w:val="20"/>
          <w:szCs w:val="20"/>
          <w:color w:val="auto"/>
        </w:rPr>
      </w:pPr>
    </w:p>
    <w:p>
      <w:pPr>
        <w:ind w:left="20"/>
        <w:spacing w:after="0" w:line="226" w:lineRule="auto"/>
        <w:rPr>
          <w:sz w:val="20"/>
          <w:szCs w:val="20"/>
          <w:color w:val="auto"/>
        </w:rPr>
      </w:pPr>
      <w:r>
        <w:rPr>
          <w:rFonts w:ascii="Arial" w:cs="Arial" w:eastAsia="Arial" w:hAnsi="Arial"/>
          <w:sz w:val="18"/>
          <w:szCs w:val="18"/>
          <w:color w:val="auto"/>
        </w:rPr>
        <w:t>Total selling, general and administrative expenses, excluding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5123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20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51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28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67,276</w:t>
            </w:r>
          </w:p>
        </w:tc>
        <w:tc>
          <w:tcPr>
            <w:tcW w:w="280" w:type="dxa"/>
            <w:vAlign w:val="bottom"/>
          </w:tcPr>
          <w:p>
            <w:pPr>
              <w:spacing w:after="0"/>
              <w:rPr>
                <w:sz w:val="15"/>
                <w:szCs w:val="15"/>
                <w:color w:val="auto"/>
              </w:rPr>
            </w:pPr>
          </w:p>
        </w:tc>
        <w:tc>
          <w:tcPr>
            <w:tcW w:w="860" w:type="dxa"/>
            <w:vAlign w:val="bottom"/>
            <w:tcBorders>
              <w:top w:val="single" w:sz="8" w:color="auto"/>
            </w:tcBorders>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54,016</w:t>
            </w:r>
          </w:p>
        </w:tc>
        <w:tc>
          <w:tcPr>
            <w:tcW w:w="260" w:type="dxa"/>
            <w:vAlign w:val="bottom"/>
          </w:tcPr>
          <w:p>
            <w:pPr>
              <w:spacing w:after="0"/>
              <w:rPr>
                <w:sz w:val="15"/>
                <w:szCs w:val="15"/>
                <w:color w:val="auto"/>
              </w:rPr>
            </w:pPr>
          </w:p>
        </w:tc>
        <w:tc>
          <w:tcPr>
            <w:tcW w:w="3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13,260</w:t>
            </w:r>
          </w:p>
        </w:tc>
        <w:tc>
          <w:tcPr>
            <w:tcW w:w="2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25</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12,989</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11,340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54,287</w:t>
            </w:r>
          </w:p>
        </w:tc>
        <w:tc>
          <w:tcPr>
            <w:tcW w:w="280" w:type="dxa"/>
            <w:vAlign w:val="bottom"/>
          </w:tcPr>
          <w:p>
            <w:pPr>
              <w:spacing w:after="0"/>
              <w:rPr>
                <w:sz w:val="24"/>
                <w:szCs w:val="24"/>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42,676</w:t>
            </w:r>
          </w:p>
        </w:tc>
        <w:tc>
          <w:tcPr>
            <w:tcW w:w="26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11,611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-496570</wp:posOffset>
            </wp:positionV>
            <wp:extent cx="7132320" cy="12890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-239395</wp:posOffset>
            </wp:positionV>
            <wp:extent cx="7132320" cy="24003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900" w:space="240"/>
            <w:col w:w="6160"/>
          </w:cols>
          <w:pgMar w:left="320" w:top="503" w:right="279" w:bottom="1440" w:gutter="0" w:footer="0" w:header="0"/>
          <w:type w:val="continuous"/>
        </w:sectPr>
      </w:pPr>
    </w:p>
    <w:p>
      <w:pPr>
        <w:spacing w:after="0" w:line="110" w:lineRule="exact"/>
        <w:rPr>
          <w:sz w:val="20"/>
          <w:szCs w:val="20"/>
          <w:color w:val="auto"/>
        </w:rPr>
      </w:pPr>
    </w:p>
    <w:p>
      <w:pPr>
        <w:ind w:left="520" w:right="36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portion of share-based compensation expense is recognized within Cost and Expenses Applicable to Revenue and Research and Development. (See Note 12 of Notes to Condensed Consolidated Financial Statements.)</w:t>
      </w:r>
    </w:p>
    <w:p>
      <w:pPr>
        <w:spacing w:after="0" w:line="130" w:lineRule="exact"/>
        <w:rPr>
          <w:sz w:val="20"/>
          <w:szCs w:val="20"/>
          <w:color w:val="auto"/>
        </w:rPr>
      </w:pPr>
    </w:p>
    <w:p>
      <w:pPr>
        <w:jc w:val="both"/>
        <w:ind w:right="60" w:firstLine="224"/>
        <w:spacing w:after="0" w:line="284" w:lineRule="auto"/>
        <w:rPr>
          <w:sz w:val="20"/>
          <w:szCs w:val="20"/>
          <w:color w:val="auto"/>
        </w:rPr>
      </w:pPr>
      <w:r>
        <w:rPr>
          <w:rFonts w:ascii="Arial" w:cs="Arial" w:eastAsia="Arial" w:hAnsi="Arial"/>
          <w:sz w:val="16"/>
          <w:szCs w:val="16"/>
          <w:color w:val="auto"/>
        </w:rPr>
        <w:t>The increase in Selling, General and Administrative Expenses reflects the Company's higher level of business activity in the current period, as the effects of the COVID-19 pandemic continue to subside, resulting in higher staff costs, marketing expenses, and facilities-related expenses. Also influencing the comparison to the prior period was $3.6 million resulting from unfavorable foreign currency exchange rate movements and $2.6 million of benefits from the Canada Emergency Wage Subsidy (“CEWS”) program that were recognized in the first half of 2021 but were not repeated in the current year.</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right="60" w:firstLine="224"/>
        <w:spacing w:after="0" w:line="241"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IMAX theater network.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six months ended June 30, 2022, Research and Development expenses decreased by $1.1 million (30%), when compared to the prior year.</w:t>
      </w:r>
    </w:p>
    <w:p>
      <w:pPr>
        <w:spacing w:after="0" w:line="194" w:lineRule="exact"/>
        <w:rPr>
          <w:sz w:val="20"/>
          <w:szCs w:val="20"/>
          <w:color w:val="auto"/>
        </w:rPr>
      </w:pPr>
    </w:p>
    <w:p>
      <w:pPr>
        <w:jc w:val="both"/>
        <w:ind w:right="60" w:firstLine="224"/>
        <w:spacing w:after="0" w:line="262" w:lineRule="auto"/>
        <w:rPr>
          <w:sz w:val="20"/>
          <w:szCs w:val="20"/>
          <w:color w:val="auto"/>
        </w:rPr>
      </w:pPr>
      <w:r>
        <w:rPr>
          <w:rFonts w:ascii="Arial" w:cs="Arial" w:eastAsia="Arial" w:hAnsi="Arial"/>
          <w:sz w:val="17"/>
          <w:szCs w:val="17"/>
          <w:color w:val="auto"/>
        </w:rPr>
        <w:t>The Company intends to continue research and development to further evolve its end-to-end technology. This includes bringing connectivity to the Company’s global theater network and experimenting with live and interactive events worldwide; developing new IMAX film cameras and certifying additional digital cameras; further improving its proprietary DMR process for the delivery of content for both theatrical and home entertainment; and further improving the reliability of its projectors, as well as enhancing the Company’s image and sound quality.</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 Net</w:t>
      </w:r>
    </w:p>
    <w:p>
      <w:pPr>
        <w:spacing w:after="0" w:line="171" w:lineRule="exact"/>
        <w:rPr>
          <w:sz w:val="20"/>
          <w:szCs w:val="20"/>
          <w:color w:val="auto"/>
        </w:rPr>
      </w:pPr>
    </w:p>
    <w:p>
      <w:pPr>
        <w:jc w:val="both"/>
        <w:ind w:right="60" w:firstLine="224"/>
        <w:spacing w:after="0" w:line="284" w:lineRule="auto"/>
        <w:rPr>
          <w:sz w:val="20"/>
          <w:szCs w:val="20"/>
          <w:color w:val="auto"/>
        </w:rPr>
      </w:pPr>
      <w:r>
        <w:rPr>
          <w:rFonts w:ascii="Arial" w:cs="Arial" w:eastAsia="Arial" w:hAnsi="Arial"/>
          <w:sz w:val="16"/>
          <w:szCs w:val="16"/>
          <w:color w:val="auto"/>
        </w:rPr>
        <w:t>For the six months ended June 30, 2022, the Company recorded current expected credit losses of $7.3 million, principally due to reserves established against substantially all of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 For the six months ended June 30, 2021, the Company recorded a provision for current expected credit losses of $1.6 million.</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3" w:right="279" w:bottom="1440" w:gutter="0" w:footer="0" w:header="0"/>
          <w:type w:val="continuous"/>
        </w:sectPr>
      </w:pPr>
    </w:p>
    <w:bookmarkStart w:id="72" w:name="page73"/>
    <w:bookmarkEnd w:id="72"/>
    <w:p>
      <w:pPr>
        <w:ind w:left="100"/>
        <w:spacing w:after="0"/>
        <w:rPr>
          <w:sz w:val="20"/>
          <w:szCs w:val="20"/>
          <w:color w:val="auto"/>
        </w:rPr>
      </w:pPr>
      <w:r>
        <w:rPr>
          <w:rFonts w:ascii="Arial" w:cs="Arial" w:eastAsia="Arial" w:hAnsi="Arial"/>
          <w:sz w:val="18"/>
          <w:szCs w:val="18"/>
          <w:b w:val="1"/>
          <w:bCs w:val="1"/>
          <w:i w:val="1"/>
          <w:iCs w:val="1"/>
          <w:color w:val="auto"/>
        </w:rPr>
        <w:t>Asset Impairment</w:t>
      </w:r>
    </w:p>
    <w:p>
      <w:pPr>
        <w:spacing w:after="0" w:line="185" w:lineRule="exact"/>
        <w:rPr>
          <w:sz w:val="20"/>
          <w:szCs w:val="20"/>
          <w:color w:val="auto"/>
        </w:rPr>
      </w:pPr>
    </w:p>
    <w:p>
      <w:pPr>
        <w:jc w:val="both"/>
        <w:ind w:firstLine="224"/>
        <w:spacing w:after="0" w:line="276" w:lineRule="auto"/>
        <w:rPr>
          <w:sz w:val="20"/>
          <w:szCs w:val="20"/>
          <w:color w:val="auto"/>
        </w:rPr>
      </w:pPr>
      <w:r>
        <w:rPr>
          <w:rFonts w:ascii="Arial" w:cs="Arial" w:eastAsia="Arial" w:hAnsi="Arial"/>
          <w:sz w:val="16"/>
          <w:szCs w:val="16"/>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Arial" w:cs="Arial" w:eastAsia="Arial" w:hAnsi="Arial"/>
          <w:sz w:val="16"/>
          <w:szCs w:val="16"/>
          <w:i w:val="1"/>
          <w:iCs w:val="1"/>
          <w:color w:val="auto"/>
        </w:rPr>
        <w:t>Mozart from Space</w:t>
      </w:r>
      <w:r>
        <w:rPr>
          <w:rFonts w:ascii="Arial" w:cs="Arial" w:eastAsia="Arial" w:hAnsi="Arial"/>
          <w:sz w:val="16"/>
          <w:szCs w:val="16"/>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spacing w:after="0" w:line="121" w:lineRule="exact"/>
        <w:rPr>
          <w:sz w:val="20"/>
          <w:szCs w:val="20"/>
          <w:color w:val="auto"/>
        </w:rPr>
      </w:pPr>
    </w:p>
    <w:p>
      <w:pPr>
        <w:ind w:left="100" w:firstLine="225"/>
        <w:spacing w:after="0" w:line="261" w:lineRule="auto"/>
        <w:rPr>
          <w:sz w:val="20"/>
          <w:szCs w:val="20"/>
          <w:color w:val="auto"/>
        </w:rPr>
      </w:pPr>
      <w:r>
        <w:rPr>
          <w:rFonts w:ascii="Arial" w:cs="Arial" w:eastAsia="Arial" w:hAnsi="Arial"/>
          <w:sz w:val="18"/>
          <w:szCs w:val="18"/>
          <w:color w:val="auto"/>
        </w:rPr>
        <w:t xml:space="preserve">For the six months ended June 30, 2022, the Company a full impairment of its RMB 30.0 million ($4.5 million) investment in </w:t>
      </w:r>
      <w:r>
        <w:rPr>
          <w:rFonts w:ascii="Arial" w:cs="Arial" w:eastAsia="Arial" w:hAnsi="Arial"/>
          <w:sz w:val="18"/>
          <w:szCs w:val="18"/>
          <w:i w:val="1"/>
          <w:iCs w:val="1"/>
          <w:color w:val="auto"/>
        </w:rPr>
        <w:t>Mozart from Space</w:t>
      </w:r>
      <w:r>
        <w:rPr>
          <w:rFonts w:ascii="Arial" w:cs="Arial" w:eastAsia="Arial" w:hAnsi="Arial"/>
          <w:sz w:val="18"/>
          <w:szCs w:val="18"/>
          <w:color w:val="auto"/>
        </w:rPr>
        <w:t xml:space="preserve"> based on projected box office results and distribution costs.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Legal Judgment and Arbitration Awards</w:t>
      </w:r>
    </w:p>
    <w:p>
      <w:pPr>
        <w:spacing w:after="0" w:line="21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In the six months ended June 30, 2021, the Company recorded a $1.8 million benefit within Legal Judgment and Arbitration Awards as a result of the settlement of the Giencourt matter, as discussed in Note 8(b)(ii) of Notes to Condensed Consolidated Financial Statements. There was no comparable amount recorded during 2022.</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Realized and Unrealized Investment Gains</w:t>
      </w:r>
    </w:p>
    <w:p>
      <w:pPr>
        <w:spacing w:after="0" w:line="21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shares of Maoyan and recognized a gain of $5.2 million.</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2"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For the six months ended June 30, 2022, interest expense was $3.0 million, representing a decrease of $1.0 million (24%) as compared to $4.0 million during the same period of the prior year. This decrease is principally due to repayments of revolving credit facility borrowings made in the prior year, partially offset by the expensing of $0.4 million in unamortized deferred financing costs associated with lenders that are no longer parties to the Credit Agreement. (See Note 7 of Notes to Condensed Consolidated Financial Statements.)</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For the six months ended June 30, 2022, the Company recorded income tax expense of $5.7 million (2021 — $5.0 million). The Company’s effective tax rate for the six months ended June 30, 2022 of (54.9%) differs from the Canadian statutory tax rate of 26.5% primarily due to the fact that the Company recorded an additional $10.4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12"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Company’s Condensed Consolidated Financial Statements primarily include the non-controlling interest in the net income or loss of IMAX China, as well as the impact of non-controlling interests in the activity of its Original Film Fund subsidiary. For the six months ended June 30, 2022, the net income attributable to non-controlling interests of the Company’s subsidiaries was $0.3 million (2021 — $7.4 million).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CASH FLOWS FOR THE SIX MONTHS ENDED JUNE 30, 2022 AND 2021</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The net cash used in or provided by the Company’s operating activities is affected by a number of factors, including: (i) the level of cash collections from customers in respect of existing IMAX Theater System sale and lease agreements, (ii) the amount of upfront payments collected in respect of IMAX Theater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49"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For the six months ended June 30, 2022, net cash used in the Company’s operating activities totaled $5.3 million, as compared to net cash used in operating activities of $17.0 million in the same period of the prior year. For the six months ended June 30, 2022, the net cash used in the Company’s operating activities is principally due to an increase in Accounts Receivable of $14.7 million as a result of revenue growth attributable to the strength of the box office performance of the films distributed through the IMAX network, $6.9 million spent on inventory purchases, and $10.4 million spent in connection with the development of Film Assets, partially offset by cash collected in respect of Financing and Variable Consideration Receivables, as well as the Company’s cash earnings in the period.</w:t>
      </w:r>
    </w:p>
    <w:p>
      <w:pPr>
        <w:spacing w:after="0" w:line="162" w:lineRule="exact"/>
        <w:rPr>
          <w:sz w:val="20"/>
          <w:szCs w:val="20"/>
          <w:color w:val="auto"/>
        </w:rPr>
      </w:pPr>
    </w:p>
    <w:p>
      <w:pPr>
        <w:jc w:val="both"/>
        <w:ind w:firstLine="224"/>
        <w:spacing w:after="0" w:line="241" w:lineRule="auto"/>
        <w:rPr>
          <w:sz w:val="20"/>
          <w:szCs w:val="20"/>
          <w:color w:val="auto"/>
        </w:rPr>
      </w:pPr>
      <w:r>
        <w:rPr>
          <w:rFonts w:ascii="Arial" w:cs="Arial" w:eastAsia="Arial" w:hAnsi="Arial"/>
          <w:sz w:val="18"/>
          <w:szCs w:val="18"/>
          <w:color w:val="auto"/>
        </w:rPr>
        <w:t>For the six months ended June 30, 2021, the net cash used in the Company's operating activities was principally due to a significant increase in Accounts Receivable of $11.0 million as a result of theaters reopening amidst the early stages of recovery from the COVID-19 pandemic, as well as a $9.5 million payment made in the second quarter of 2021 in connection with the settlement of the Giencourt matter, as discussed in Note 8(b)(ii) of Notes to Condensed Consolidated Financial Statements, partially offset by cash collected in respect of IMAX Theater System sale and lease agreements in backlog and cash collected in advance of providing maintenance services.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7"/>
          <w:szCs w:val="17"/>
          <w:color w:val="auto"/>
        </w:rPr>
        <w:t xml:space="preserve">For the six months ended June 30, 2022, net cash used in investing activities totaled $18.0 million, as compared to net cash provided by investing activities of $11.4 million in the same period of the prior year. For the six months ended June 30, 2022, the net cash used in investing activities is primarily driven by $8.7 million invested in equipment to be used in the Company’s joint revenue sharing arrangements with exhibitors (2021 — $2.4 million), $4.7 million invested by IMAX (Shanghai) Culture and Technology Co., Ltd, a wholly-owned subsidiary of IMAX China, in the movie </w:t>
      </w:r>
      <w:r>
        <w:rPr>
          <w:rFonts w:ascii="Arial" w:cs="Arial" w:eastAsia="Arial" w:hAnsi="Arial"/>
          <w:sz w:val="17"/>
          <w:szCs w:val="17"/>
          <w:i w:val="1"/>
          <w:iCs w:val="1"/>
          <w:color w:val="auto"/>
        </w:rPr>
        <w:t>Mozart from Space</w:t>
      </w:r>
      <w:r>
        <w:rPr>
          <w:rFonts w:ascii="Arial" w:cs="Arial" w:eastAsia="Arial" w:hAnsi="Arial"/>
          <w:sz w:val="17"/>
          <w:szCs w:val="17"/>
          <w:color w:val="auto"/>
        </w:rPr>
        <w:t xml:space="preserve"> (see “Asset Impairment" above), and $2.9 million in purchases of property, plant and equipment.</w:t>
      </w:r>
    </w:p>
    <w:p>
      <w:pPr>
        <w:spacing w:after="0" w:line="147" w:lineRule="exact"/>
        <w:rPr>
          <w:sz w:val="20"/>
          <w:szCs w:val="20"/>
          <w:color w:val="auto"/>
        </w:rPr>
      </w:pPr>
    </w:p>
    <w:p>
      <w:pPr>
        <w:jc w:val="both"/>
        <w:ind w:firstLine="275"/>
        <w:spacing w:after="0" w:line="248" w:lineRule="auto"/>
        <w:rPr>
          <w:sz w:val="20"/>
          <w:szCs w:val="20"/>
          <w:color w:val="auto"/>
        </w:rPr>
      </w:pPr>
      <w:r>
        <w:rPr>
          <w:rFonts w:ascii="Arial" w:cs="Arial" w:eastAsia="Arial" w:hAnsi="Arial"/>
          <w:sz w:val="18"/>
          <w:szCs w:val="18"/>
          <w:color w:val="auto"/>
        </w:rPr>
        <w:t>For the six months ended June 30, 2021, the net cash provided by investing activities was primarily driven by $17.8 million in cash proceeds received from the sale of the Company’s investment in Maoyan in the first quarter of 2021 (see “Management’s Discussion and Analysis of Financial Condition and Results of Operations – Realized and Unrealized Investment Gains”).</w:t>
      </w:r>
    </w:p>
    <w:p>
      <w:pPr>
        <w:spacing w:after="0" w:line="141"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Based on management’s current operating plan for 2022, the Company expects to continue to use cash to deploy additional IMAX Theater Systems under joint revenue sharing arrangements.</w:t>
      </w:r>
    </w:p>
    <w:p>
      <w:pPr>
        <w:spacing w:after="0" w:line="130"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Capital expenditures, including the Company’s investment in joint revenue sharing arrangements, the purchase of property, plant and equipment, the acquisition of other intangible assets, and investments in films</w:t>
      </w:r>
      <w:r>
        <w:rPr>
          <w:rFonts w:ascii="Arial" w:cs="Arial" w:eastAsia="Arial" w:hAnsi="Arial"/>
          <w:sz w:val="18"/>
          <w:szCs w:val="18"/>
          <w:i w:val="1"/>
          <w:iCs w:val="1"/>
          <w:color w:val="auto"/>
        </w:rPr>
        <w:t>,</w:t>
      </w:r>
      <w:r>
        <w:rPr>
          <w:rFonts w:ascii="Arial" w:cs="Arial" w:eastAsia="Arial" w:hAnsi="Arial"/>
          <w:sz w:val="18"/>
          <w:szCs w:val="18"/>
          <w:color w:val="auto"/>
        </w:rPr>
        <w:t xml:space="preserve"> were $28.4 million for the six months ended June 30, 2022, as compared to $12.2 million for the six months ended June 30, 2021.</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7"/>
          <w:szCs w:val="17"/>
          <w:color w:val="auto"/>
        </w:rPr>
        <w:t>For the six months ended June 30, 2022, net cash used in financing activities totaled $57.5 million, as compared to $96.6 million used in financing activities in the same period of the prior year. For the six months ended June 30, 2022, the net cash used in financing activities is principally due to $51.2 million used to repurchase common shares of the Company ($49.4 million) and IMAX China ($1.8 million), $3.4 million paid to purchase treasury stock for the settlement of restricted share units and related taxes, and $2.0 million in fees paid in relation to the Sixth Amended and Restated Credit Agreement entered into by the Company during the first quarter of 2022. (See Note 7 of Notes to Condensed Consolidated Financial Statements in Part I, Item 1 for additional information on the Sixth Amended and Restated Credit Agreement.)</w:t>
      </w:r>
    </w:p>
    <w:p>
      <w:pPr>
        <w:spacing w:after="0" w:line="135"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For the six months ended June 30, 2021, net cash used in financing activities was principally due to the $296.6 million in repayments of revolving credit facility borrowings, which were funded in part with a portion of the $223.7 million in net proceeds received from the issuance of the Convertible Notes, and the $19.1 million purchase of capped calls related to the Convertible Notes. (See Note 7 of Notes to Condensed Consolidated Financial Statements in Part I, Item 1 for additional information on the issuance of the Convertible Notes and the related capped call transactions.)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223"/>
        <w:spacing w:after="0"/>
        <w:rPr>
          <w:sz w:val="20"/>
          <w:szCs w:val="20"/>
          <w:color w:val="auto"/>
        </w:rPr>
      </w:pPr>
      <w:r>
        <w:rPr>
          <w:rFonts w:ascii="Arial" w:cs="Arial" w:eastAsia="Arial" w:hAnsi="Arial"/>
          <w:sz w:val="18"/>
          <w:szCs w:val="18"/>
          <w:color w:val="auto"/>
        </w:rPr>
        <w:t>As of June 30, 2022, the Company’s principal sources of liquidity included: (i) its balances of cash and cash equivalents ($110.1 million); (ii) the anticipated collection of trade accounts receivable, which includes amounts owed under joint revenue sharing arrangements and DMR agreements with movie studios; (iii) the anticipated collection of financing receivables due in the next 12 months under sale and sales-type lease arrangements for theaters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149" w:lineRule="exact"/>
        <w:rPr>
          <w:sz w:val="20"/>
          <w:szCs w:val="20"/>
          <w:color w:val="auto"/>
        </w:rPr>
      </w:pPr>
    </w:p>
    <w:p>
      <w:pPr>
        <w:jc w:val="both"/>
        <w:ind w:firstLine="223"/>
        <w:spacing w:after="0"/>
        <w:rPr>
          <w:sz w:val="20"/>
          <w:szCs w:val="20"/>
          <w:color w:val="auto"/>
        </w:rPr>
      </w:pPr>
      <w:r>
        <w:rPr>
          <w:rFonts w:ascii="Arial" w:cs="Arial" w:eastAsia="Arial" w:hAnsi="Arial"/>
          <w:sz w:val="18"/>
          <w:szCs w:val="18"/>
          <w:color w:val="auto"/>
        </w:rPr>
        <w:t>In addition, as of June 30, 2022, the Company had $300.0 million in available borrowing capacity under its Sixth Amended and Restated Credit Agreement with Wells Fargo Bank, National Association (the “Credit Agreement”), $28.3 million in available borrowing capacity under IMAX (Shanghai) Multimedia Technology Co., Ltd. ("IMAX Shanghai")’s revolving facility with the Bank of China, and approximately $30.0 million in available borrowing capacity under IMAX Shanghai's revolving facility with HSBC Bank (China) Company Limited, Shanghai Branch (See Note 7 of Notes to Condensed Consolidated Financial Statements in Part I, Item 1 for a description of the material terms of the Credit Agreement, Bank of China Facility and HSBC China Facility.)</w:t>
      </w:r>
    </w:p>
    <w:p>
      <w:pPr>
        <w:spacing w:after="0" w:line="149"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17"/>
          <w:szCs w:val="17"/>
          <w:color w:val="auto"/>
        </w:rPr>
        <w:t>The Company’s $110.1 million balance of cash and cash equivalents as of June 30, 2022 (December 31, 2021 — $189.7 million) includes $86.4 million in cash held outside of Canada (December 31, 2021 — $102.1 million), of which $58.5 million was held in the People’s Republic of China (the “PRC”) (December 31, 2021 — $76.3 million). 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In 2021, $20.4 million of historical earnings from a subsidiary in China were distributed and, as a result, $2.0 million of foreign withholding taxes were paid to the relevant tax authorities. As of June 30, 2022, the Company’s Condensed Consolidated Balance Sheets include a deferred tax liability of $17.6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157"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Item 1A of the Company’s 2021 Form 10-K as supplemented by the risk factors in Part II, Item 1A of this report).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Theater Systems and box office performance of IMAX DMR content are not realized.</w:t>
      </w:r>
    </w:p>
    <w:p>
      <w:pPr>
        <w:spacing w:after="0" w:line="149"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For the three and six months ended June 30, 2022, GBO generated by IMAX films totaled $247.7 million and $420.9 million, respectively, surpassing the totals for the same periods in 2021 by $139.1 million (128%) and $202.1 million (92%), respectively. Although GBO results during the three and six months ended June 30, 2022 were impacted by the COVID-related theater closures in China, management remains encouraged by the overall positive trend in box office results and believes it indicates that moviegoers are returning to theaters, and in particular IMAX theaters, where and when theaters are open and they feel safe. Despite accounting for 1% of all domestic screens, the IMAX network had a domestic market share of 5.3% in the second quarter of 2022, and in May alone IMAX theaters captured approximately 7% of the total domestic box office. Management is further encouraged by the return of the prevalence of exclusive theatrical windows and the strong pipeline of Hollywood movies scheduled to be released for theatrical exhibition throughout the remainder of 2022 and into 2023.</w:t>
      </w:r>
    </w:p>
    <w:p>
      <w:pPr>
        <w:spacing w:after="0" w:line="153"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44"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of June 30,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Payments Due by Period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33"/>
        </w:trPr>
        <w:tc>
          <w:tcPr>
            <w:tcW w:w="15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3"/>
              </w:rPr>
              <w:t>Less Than One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85"/>
        </w:trPr>
        <w:tc>
          <w:tcPr>
            <w:tcW w:w="5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Obligation</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1 to 3 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0"/>
              </w:rPr>
              <w:t>3 to 5 years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Thereafter</w:t>
            </w:r>
          </w:p>
        </w:tc>
      </w:tr>
      <w:tr>
        <w:trPr>
          <w:trHeight w:val="196"/>
        </w:trPr>
        <w:tc>
          <w:tcPr>
            <w:tcW w:w="5120" w:type="dxa"/>
            <w:vAlign w:val="bottom"/>
            <w:gridSpan w:val="2"/>
            <w:shd w:val="clear" w:color="auto" w:fill="CFF0FC"/>
          </w:tcPr>
          <w:p>
            <w:pPr>
              <w:ind w:left="20"/>
              <w:spacing w:after="0" w:line="195"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(1)</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53,581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51,709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1,569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287</w:t>
            </w: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Pension obligations</w:t>
            </w:r>
            <w:r>
              <w:rPr>
                <w:rFonts w:ascii="Arial" w:cs="Arial" w:eastAsia="Arial" w:hAnsi="Arial"/>
                <w:sz w:val="23"/>
                <w:szCs w:val="23"/>
                <w:color w:val="auto"/>
                <w:vertAlign w:val="superscript"/>
              </w:rPr>
              <w:t>(2)</w:t>
            </w:r>
          </w:p>
        </w:tc>
        <w:tc>
          <w:tcPr>
            <w:tcW w:w="14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20,298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20,298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3"/>
                <w:szCs w:val="23"/>
                <w:color w:val="auto"/>
                <w:vertAlign w:val="superscript"/>
              </w:rPr>
              <w:t>(3)</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16,831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4,582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4,196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5,241</w:t>
            </w: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Finance lease obligations</w:t>
            </w:r>
          </w:p>
        </w:tc>
        <w:tc>
          <w:tcPr>
            <w:tcW w:w="14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Convertible Notes</w:t>
            </w:r>
            <w:r>
              <w:rPr>
                <w:rFonts w:ascii="Arial" w:cs="Arial" w:eastAsia="Arial" w:hAnsi="Arial"/>
                <w:sz w:val="23"/>
                <w:szCs w:val="23"/>
                <w:color w:val="auto"/>
                <w:vertAlign w:val="superscript"/>
              </w:rPr>
              <w:t>(4)</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234,600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231,150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tcBorders>
              <w:bottom w:val="single" w:sz="8" w:color="CFF0FC"/>
            </w:tcBorders>
            <w:gridSpan w:val="2"/>
          </w:tcPr>
          <w:p>
            <w:pPr>
              <w:ind w:left="20"/>
              <w:spacing w:after="0" w:line="202" w:lineRule="exact"/>
              <w:rPr>
                <w:sz w:val="20"/>
                <w:szCs w:val="20"/>
                <w:color w:val="auto"/>
              </w:rPr>
            </w:pPr>
            <w:r>
              <w:rPr>
                <w:rFonts w:ascii="Arial" w:cs="Arial" w:eastAsia="Arial" w:hAnsi="Arial"/>
                <w:sz w:val="18"/>
                <w:szCs w:val="18"/>
                <w:color w:val="auto"/>
              </w:rPr>
              <w:t>Postretirement benefits obligations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2,978</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2,340</w:t>
            </w:r>
          </w:p>
        </w:tc>
      </w:tr>
      <w:tr>
        <w:trPr>
          <w:trHeight w:val="236"/>
        </w:trPr>
        <w:tc>
          <w:tcPr>
            <w:tcW w:w="1500" w:type="dxa"/>
            <w:vAlign w:val="bottom"/>
            <w:tcBorders>
              <w:bottom w:val="single" w:sz="8" w:color="CFF0FC"/>
            </w:tcBorders>
            <w:shd w:val="clear" w:color="auto" w:fill="CFF0FC"/>
          </w:tcPr>
          <w:p>
            <w:pPr>
              <w:spacing w:after="0"/>
              <w:rPr>
                <w:sz w:val="20"/>
                <w:szCs w:val="20"/>
                <w:color w:val="auto"/>
              </w:rPr>
            </w:pPr>
          </w:p>
        </w:tc>
        <w:tc>
          <w:tcPr>
            <w:tcW w:w="36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329,248</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76,565</w:t>
            </w:r>
          </w:p>
        </w:tc>
        <w:tc>
          <w:tcPr>
            <w:tcW w:w="1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9,193</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235,622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7,868</w:t>
            </w:r>
          </w:p>
        </w:tc>
      </w:tr>
      <w:tr>
        <w:trPr>
          <w:trHeight w:val="197"/>
        </w:trPr>
        <w:tc>
          <w:tcPr>
            <w:tcW w:w="1500" w:type="dxa"/>
            <w:vAlign w:val="bottom"/>
            <w:tcBorders>
              <w:bottom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-170815</wp:posOffset>
            </wp:positionV>
            <wp:extent cx="7683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-153670</wp:posOffset>
            </wp:positionV>
            <wp:extent cx="7683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-307975</wp:posOffset>
            </wp:positionV>
            <wp:extent cx="7683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7683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-153670</wp:posOffset>
            </wp:positionV>
            <wp:extent cx="768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-307975</wp:posOffset>
            </wp:positionV>
            <wp:extent cx="7683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-153670</wp:posOffset>
            </wp:positionV>
            <wp:extent cx="6858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-307975</wp:posOffset>
            </wp:positionV>
            <wp:extent cx="685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-153670</wp:posOffset>
            </wp:positionV>
            <wp:extent cx="685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-307975</wp:posOffset>
            </wp:positionV>
            <wp:extent cx="685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380" w:right="20" w:hanging="372"/>
        <w:spacing w:after="0" w:line="261"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43" w:lineRule="exact"/>
        <w:rPr>
          <w:rFonts w:ascii="Arial" w:cs="Arial" w:eastAsia="Arial" w:hAnsi="Arial"/>
          <w:sz w:val="18"/>
          <w:szCs w:val="18"/>
          <w:color w:val="auto"/>
        </w:rPr>
      </w:pPr>
    </w:p>
    <w:p>
      <w:pPr>
        <w:jc w:val="both"/>
        <w:ind w:left="380" w:hanging="372"/>
        <w:spacing w:after="0" w:line="241"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2022, in accordance with the terms of the SERP, although Mr. Gelfond has not informed the Company that he intends to retire at that time. (See Note 15 of Notes to Condensed Consolidated Financial Statements in Part I, Item 1.)</w:t>
      </w:r>
    </w:p>
    <w:p>
      <w:pPr>
        <w:spacing w:after="0" w:line="148"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 which almost entirely consist of rent at the Company’s leased office space in New York.</w:t>
      </w:r>
    </w:p>
    <w:p>
      <w:pPr>
        <w:spacing w:after="0" w:line="130" w:lineRule="exact"/>
        <w:rPr>
          <w:rFonts w:ascii="Arial" w:cs="Arial" w:eastAsia="Arial" w:hAnsi="Arial"/>
          <w:sz w:val="18"/>
          <w:szCs w:val="18"/>
          <w:color w:val="auto"/>
        </w:rPr>
      </w:pPr>
    </w:p>
    <w:p>
      <w:pPr>
        <w:jc w:val="both"/>
        <w:ind w:left="380" w:hanging="372"/>
        <w:spacing w:after="0" w:line="248"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7(b) of Notes to Condensed Consolidated Financial Statements in Part I, Item 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firstLine="224"/>
        <w:spacing w:after="0" w:line="261"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16" w:lineRule="exact"/>
        <w:rPr>
          <w:sz w:val="20"/>
          <w:szCs w:val="20"/>
          <w:color w:val="auto"/>
        </w:rPr>
      </w:pPr>
    </w:p>
    <w:p>
      <w:pPr>
        <w:ind w:right="20" w:firstLine="224"/>
        <w:spacing w:after="0" w:line="261" w:lineRule="auto"/>
        <w:rPr>
          <w:sz w:val="20"/>
          <w:szCs w:val="20"/>
          <w:color w:val="auto"/>
        </w:rPr>
      </w:pPr>
      <w:r>
        <w:rPr>
          <w:rFonts w:ascii="Arial" w:cs="Arial" w:eastAsia="Arial" w:hAnsi="Arial"/>
          <w:sz w:val="18"/>
          <w:szCs w:val="18"/>
          <w:color w:val="auto"/>
        </w:rPr>
        <w:t>See Note 3 of Notes to Condensed Consolidated Financial Statements in Part I, Item 1 for a discussion of recently issued accounting standards and their impact on the Company's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68" w:lineRule="exact"/>
        <w:rPr>
          <w:sz w:val="20"/>
          <w:szCs w:val="20"/>
          <w:color w:val="auto"/>
        </w:rPr>
      </w:pPr>
    </w:p>
    <w:p>
      <w:pPr>
        <w:ind w:left="600" w:hanging="36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net income (loss) attributable to common shareholders;</w:t>
      </w:r>
    </w:p>
    <w:p>
      <w:pPr>
        <w:spacing w:after="0" w:line="198" w:lineRule="exact"/>
        <w:rPr>
          <w:rFonts w:ascii="Arial" w:cs="Arial" w:eastAsia="Arial" w:hAnsi="Arial"/>
          <w:sz w:val="18"/>
          <w:szCs w:val="18"/>
          <w:color w:val="auto"/>
        </w:rPr>
      </w:pPr>
    </w:p>
    <w:p>
      <w:pPr>
        <w:ind w:left="600" w:hanging="36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net income (loss) attributable to common shareholders per basic and diluted share;</w:t>
      </w:r>
    </w:p>
    <w:p>
      <w:pPr>
        <w:spacing w:after="0" w:line="198" w:lineRule="exact"/>
        <w:rPr>
          <w:rFonts w:ascii="Arial" w:cs="Arial" w:eastAsia="Arial" w:hAnsi="Arial"/>
          <w:sz w:val="18"/>
          <w:szCs w:val="18"/>
          <w:color w:val="auto"/>
        </w:rPr>
      </w:pPr>
    </w:p>
    <w:p>
      <w:pPr>
        <w:ind w:left="600" w:hanging="36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EBITDA; and</w:t>
      </w:r>
    </w:p>
    <w:p>
      <w:pPr>
        <w:spacing w:after="0" w:line="198" w:lineRule="exact"/>
        <w:rPr>
          <w:rFonts w:ascii="Arial" w:cs="Arial" w:eastAsia="Arial" w:hAnsi="Arial"/>
          <w:sz w:val="18"/>
          <w:szCs w:val="18"/>
          <w:color w:val="auto"/>
        </w:rPr>
      </w:pPr>
    </w:p>
    <w:p>
      <w:pPr>
        <w:ind w:left="600" w:hanging="36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5"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Adjusted net income (loss) attributable to common shareholders and adjusted net income (loss) attributable to common shareholders per basic and diluted share exclude, where applicable: (i) share-based compensation; (ii) COVID-19 government relief benefits; (iii) legal judgment and arbitration awards; (iv) realized and unrealized investment gains or losses, as well as the related tax impact of these adjustments; and (v) income taxes resulting from management’s decision to no longer indefinitely reinvest the historical earnings of certain foreign subsidiaries.</w:t>
      </w:r>
    </w:p>
    <w:p>
      <w:pPr>
        <w:spacing w:after="0" w:line="131"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w:t>
      </w:r>
      <w:r>
        <w:rPr>
          <w:rFonts w:ascii="Arial" w:cs="Arial" w:eastAsia="Arial" w:hAnsi="Arial"/>
          <w:sz w:val="18"/>
          <w:szCs w:val="18"/>
          <w:color w:val="auto"/>
        </w:rPr>
        <w:t xml:space="preserve"> </w:t>
      </w:r>
      <w:r>
        <w:rPr>
          <w:rFonts w:ascii="Arial" w:cs="Arial" w:eastAsia="Arial" w:hAnsi="Arial"/>
          <w:sz w:val="18"/>
          <w:szCs w:val="18"/>
          <w:color w:val="212529"/>
        </w:rPr>
        <w:t xml:space="preserve">the after-tax impact of share-based compensation and </w:t>
      </w:r>
      <w:r>
        <w:rPr>
          <w:rFonts w:ascii="Arial" w:cs="Arial" w:eastAsia="Arial" w:hAnsi="Arial"/>
          <w:sz w:val="18"/>
          <w:szCs w:val="18"/>
          <w:color w:val="000000"/>
        </w:rPr>
        <w:t>certain unusual items included in net loss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 share-based</w:t>
      </w:r>
      <w:r>
        <w:rPr>
          <w:rFonts w:ascii="Arial" w:cs="Arial" w:eastAsia="Arial" w:hAnsi="Arial"/>
          <w:sz w:val="18"/>
          <w:szCs w:val="18"/>
          <w:color w:val="212529"/>
        </w:rPr>
        <w:t xml:space="preserve"> </w:t>
      </w:r>
      <w:r>
        <w:rPr>
          <w:rFonts w:ascii="Arial" w:cs="Arial" w:eastAsia="Arial" w:hAnsi="Arial"/>
          <w:sz w:val="18"/>
          <w:szCs w:val="18"/>
          <w:color w:val="000000"/>
        </w:rPr>
        <w:t>compensation is an important aspect of the Company’s employee and executive compensation packages, it is a non-cash expense and is excluded from certain internal business performance measures.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jc w:val="both"/>
        <w:ind w:firstLine="223"/>
        <w:spacing w:after="0" w:line="324" w:lineRule="auto"/>
        <w:rPr>
          <w:sz w:val="20"/>
          <w:szCs w:val="20"/>
          <w:color w:val="auto"/>
        </w:rPr>
      </w:pPr>
      <w:r>
        <w:rPr>
          <w:rFonts w:ascii="Arial" w:cs="Arial" w:eastAsia="Arial" w:hAnsi="Arial"/>
          <w:sz w:val="16"/>
          <w:szCs w:val="16"/>
          <w:color w:val="auto"/>
        </w:rPr>
        <w:t>Reconciliations of net loss attributable to common shareholders and the associated per share amounts to adjusted net income (loss) attributable to common shareholders and adjusted net income (loss) attributable to common shareholders per basic and diluted share are presented in the tables below.</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83"/>
              </w:rPr>
              <w:t>2022</w:t>
            </w: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440" w:type="dxa"/>
            <w:vAlign w:val="bottom"/>
            <w:gridSpan w:val="4"/>
          </w:tcPr>
          <w:p>
            <w:pPr>
              <w:ind w:left="20"/>
              <w:spacing w:after="0" w:line="133" w:lineRule="exact"/>
              <w:rPr>
                <w:sz w:val="20"/>
                <w:szCs w:val="20"/>
                <w:color w:val="auto"/>
              </w:rPr>
            </w:pPr>
            <w:r>
              <w:rPr>
                <w:rFonts w:ascii="Arial" w:cs="Arial" w:eastAsia="Arial" w:hAnsi="Arial"/>
                <w:sz w:val="14"/>
                <w:szCs w:val="14"/>
                <w:i w:val="1"/>
                <w:iCs w:val="1"/>
                <w:color w:val="auto"/>
              </w:rPr>
              <w:t>(In thousands of U.S. Dollars, except per share amounts)</w:t>
            </w:r>
          </w:p>
        </w:tc>
        <w:tc>
          <w:tcPr>
            <w:tcW w:w="960" w:type="dxa"/>
            <w:vAlign w:val="bottom"/>
            <w:gridSpan w:val="4"/>
          </w:tcPr>
          <w:p>
            <w:pPr>
              <w:jc w:val="right"/>
              <w:ind w:right="161"/>
              <w:spacing w:after="0" w:line="133" w:lineRule="exact"/>
              <w:rPr>
                <w:sz w:val="20"/>
                <w:szCs w:val="20"/>
                <w:color w:val="auto"/>
              </w:rPr>
            </w:pPr>
            <w:r>
              <w:rPr>
                <w:rFonts w:ascii="Arial" w:cs="Arial" w:eastAsia="Arial" w:hAnsi="Arial"/>
                <w:sz w:val="14"/>
                <w:szCs w:val="14"/>
                <w:b w:val="1"/>
                <w:bCs w:val="1"/>
                <w:color w:val="auto"/>
              </w:rPr>
              <w:t>Net (Loss)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Per Share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50"/>
              <w:spacing w:after="0"/>
              <w:rPr>
                <w:sz w:val="20"/>
                <w:szCs w:val="20"/>
                <w:color w:val="auto"/>
              </w:rPr>
            </w:pPr>
            <w:r>
              <w:rPr>
                <w:rFonts w:ascii="Arial" w:cs="Arial" w:eastAsia="Arial" w:hAnsi="Arial"/>
                <w:sz w:val="14"/>
                <w:szCs w:val="14"/>
                <w:b w:val="1"/>
                <w:bCs w:val="1"/>
                <w:color w:val="auto"/>
                <w:w w:val="94"/>
              </w:rPr>
              <w:t>Net Loss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40" w:type="dxa"/>
            <w:vAlign w:val="bottom"/>
            <w:gridSpan w:val="4"/>
          </w:tcPr>
          <w:p>
            <w:pPr>
              <w:ind w:left="20"/>
              <w:spacing w:after="0" w:line="156" w:lineRule="exact"/>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8"/>
                <w:szCs w:val="18"/>
                <w:color w:val="auto"/>
              </w:rPr>
              <w:t>(2,851</w:t>
            </w:r>
          </w:p>
        </w:tc>
        <w:tc>
          <w:tcPr>
            <w:tcW w:w="80" w:type="dxa"/>
            <w:vAlign w:val="bottom"/>
          </w:tcPr>
          <w:p>
            <w:pPr>
              <w:jc w:val="right"/>
              <w:spacing w:after="0" w:line="155" w:lineRule="exact"/>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3"/>
                <w:szCs w:val="13"/>
                <w:color w:val="auto"/>
              </w:rPr>
            </w:pP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8"/>
                <w:szCs w:val="18"/>
                <w:color w:val="auto"/>
              </w:rPr>
              <w:t>(0.05</w:t>
            </w:r>
          </w:p>
        </w:tc>
        <w:tc>
          <w:tcPr>
            <w:tcW w:w="200" w:type="dxa"/>
            <w:vAlign w:val="bottom"/>
          </w:tcPr>
          <w:p>
            <w:pPr>
              <w:jc w:val="right"/>
              <w:ind w:right="30"/>
              <w:spacing w:after="0" w:line="15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8"/>
                <w:szCs w:val="18"/>
                <w:color w:val="auto"/>
              </w:rPr>
              <w:t>(9,211</w:t>
            </w:r>
          </w:p>
        </w:tc>
        <w:tc>
          <w:tcPr>
            <w:tcW w:w="80" w:type="dxa"/>
            <w:vAlign w:val="bottom"/>
          </w:tcPr>
          <w:p>
            <w:pPr>
              <w:jc w:val="right"/>
              <w:spacing w:after="0" w:line="156"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(0.16</w:t>
            </w:r>
          </w:p>
        </w:tc>
        <w:tc>
          <w:tcPr>
            <w:tcW w:w="100" w:type="dxa"/>
            <w:vAlign w:val="bottom"/>
          </w:tcPr>
          <w:p>
            <w:pPr>
              <w:jc w:val="right"/>
              <w:spacing w:after="0" w:line="155"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6440" w:type="dxa"/>
            <w:vAlign w:val="bottom"/>
            <w:gridSpan w:val="4"/>
          </w:tcPr>
          <w:p>
            <w:pPr>
              <w:ind w:left="20"/>
              <w:spacing w:after="0" w:line="243" w:lineRule="exact"/>
              <w:rPr>
                <w:sz w:val="20"/>
                <w:szCs w:val="20"/>
                <w:color w:val="auto"/>
              </w:rPr>
            </w:pPr>
            <w:r>
              <w:rPr>
                <w:rFonts w:ascii="Arial" w:cs="Arial" w:eastAsia="Arial" w:hAnsi="Arial"/>
                <w:sz w:val="18"/>
                <w:szCs w:val="18"/>
                <w:color w:val="auto"/>
              </w:rPr>
              <w:t>Adjustments</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40" w:type="dxa"/>
            <w:vAlign w:val="bottom"/>
            <w:gridSpan w:val="4"/>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7,261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6,451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COVID-19 government relief benefits, net</w:t>
            </w:r>
          </w:p>
        </w:tc>
        <w:tc>
          <w:tcPr>
            <w:tcW w:w="1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(1,981 )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03"/>
        </w:trPr>
        <w:tc>
          <w:tcPr>
            <w:tcW w:w="6440" w:type="dxa"/>
            <w:vAlign w:val="bottom"/>
            <w:gridSpan w:val="4"/>
            <w:shd w:val="clear" w:color="auto" w:fill="CFF0FC"/>
          </w:tcPr>
          <w:p>
            <w:pPr>
              <w:ind w:left="200"/>
              <w:spacing w:after="0" w:line="202" w:lineRule="exact"/>
              <w:rPr>
                <w:sz w:val="20"/>
                <w:szCs w:val="20"/>
                <w:color w:val="auto"/>
              </w:rPr>
            </w:pPr>
            <w:r>
              <w:rPr>
                <w:rFonts w:ascii="Arial" w:cs="Arial" w:eastAsia="Arial" w:hAnsi="Arial"/>
                <w:sz w:val="18"/>
                <w:szCs w:val="18"/>
                <w:color w:val="auto"/>
              </w:rPr>
              <w:t>Legal judgment and arbitration awards</w:t>
            </w: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(1,770 )</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03"/>
        </w:trPr>
        <w:tc>
          <w:tcPr>
            <w:tcW w:w="644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Realized and unrealized investment gains</w:t>
            </w:r>
          </w:p>
        </w:tc>
        <w:tc>
          <w:tcPr>
            <w:tcW w:w="12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(30 )</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440" w:type="dxa"/>
            <w:vAlign w:val="bottom"/>
            <w:gridSpan w:val="4"/>
          </w:tcPr>
          <w:p>
            <w:pPr>
              <w:ind w:left="200"/>
              <w:spacing w:after="0" w:line="162" w:lineRule="exact"/>
              <w:rPr>
                <w:sz w:val="20"/>
                <w:szCs w:val="20"/>
                <w:color w:val="auto"/>
              </w:rPr>
            </w:pPr>
            <w:r>
              <w:rPr>
                <w:rFonts w:ascii="Arial" w:cs="Arial" w:eastAsia="Arial" w:hAnsi="Arial"/>
                <w:sz w:val="18"/>
                <w:szCs w:val="18"/>
                <w:color w:val="auto"/>
              </w:rPr>
              <w:t>Tax impact on items listed above</w:t>
            </w:r>
          </w:p>
        </w:tc>
        <w:tc>
          <w:tcPr>
            <w:tcW w:w="120" w:type="dxa"/>
            <w:vAlign w:val="bottom"/>
          </w:tcPr>
          <w:p>
            <w:pPr>
              <w:spacing w:after="0"/>
              <w:rPr>
                <w:sz w:val="14"/>
                <w:szCs w:val="14"/>
                <w:color w:val="auto"/>
              </w:rPr>
            </w:pPr>
          </w:p>
        </w:tc>
        <w:tc>
          <w:tcPr>
            <w:tcW w:w="840" w:type="dxa"/>
            <w:vAlign w:val="bottom"/>
            <w:gridSpan w:val="3"/>
          </w:tcPr>
          <w:p>
            <w:pPr>
              <w:jc w:val="right"/>
              <w:spacing w:after="0" w:line="162" w:lineRule="exact"/>
              <w:rPr>
                <w:sz w:val="20"/>
                <w:szCs w:val="20"/>
                <w:color w:val="auto"/>
              </w:rPr>
            </w:pPr>
            <w:r>
              <w:rPr>
                <w:rFonts w:ascii="Arial" w:cs="Arial" w:eastAsia="Arial" w:hAnsi="Arial"/>
                <w:sz w:val="18"/>
                <w:szCs w:val="18"/>
                <w:color w:val="auto"/>
              </w:rPr>
              <w:t>(490 )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ind w:right="30"/>
              <w:spacing w:after="0" w:line="162" w:lineRule="exact"/>
              <w:rPr>
                <w:sz w:val="20"/>
                <w:szCs w:val="20"/>
                <w:color w:val="auto"/>
              </w:rPr>
            </w:pPr>
            <w:r>
              <w:rPr>
                <w:rFonts w:ascii="Arial" w:cs="Arial" w:eastAsia="Arial" w:hAnsi="Arial"/>
                <w:sz w:val="18"/>
                <w:szCs w:val="18"/>
                <w:color w:val="auto"/>
              </w:rPr>
              <w:t>(0.01 )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line="162" w:lineRule="exact"/>
              <w:rPr>
                <w:sz w:val="20"/>
                <w:szCs w:val="20"/>
                <w:color w:val="auto"/>
              </w:rPr>
            </w:pPr>
            <w:r>
              <w:rPr>
                <w:rFonts w:ascii="Arial" w:cs="Arial" w:eastAsia="Arial" w:hAnsi="Arial"/>
                <w:sz w:val="18"/>
                <w:szCs w:val="18"/>
                <w:color w:val="auto"/>
              </w:rPr>
              <w:t>(428 )</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41"/>
        </w:trPr>
        <w:tc>
          <w:tcPr>
            <w:tcW w:w="6440" w:type="dxa"/>
            <w:vAlign w:val="bottom"/>
            <w:gridSpan w:val="4"/>
            <w:vMerge w:val="restart"/>
          </w:tcPr>
          <w:p>
            <w:pPr>
              <w:ind w:left="20"/>
              <w:spacing w:after="0" w:line="257"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4"/>
                <w:szCs w:val="24"/>
                <w:color w:val="auto"/>
                <w:vertAlign w:val="superscript"/>
              </w:rPr>
              <w:t>(1)</w:t>
            </w: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440" w:type="dxa"/>
            <w:vAlign w:val="bottom"/>
            <w:gridSpan w:val="4"/>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3,922</w:t>
            </w: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(6,972</w:t>
            </w:r>
          </w:p>
        </w:tc>
        <w:tc>
          <w:tcPr>
            <w:tcW w:w="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shd w:val="clear" w:color="auto" w:fill="CFF0FC"/>
          </w:tcPr>
          <w:p>
            <w:pPr>
              <w:spacing w:after="0"/>
              <w:rPr>
                <w:sz w:val="15"/>
                <w:szCs w:val="15"/>
                <w:color w:val="auto"/>
              </w:rPr>
            </w:pPr>
          </w:p>
        </w:tc>
        <w:tc>
          <w:tcPr>
            <w:tcW w:w="4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Weighted average basic shares outstanding</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57,320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gridSpan w:val="4"/>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diluted shares outstanding</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57,856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59,367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9"/>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9"/>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3"/>
              </w:rPr>
              <w:t>2021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4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20" w:type="dxa"/>
            <w:vAlign w:val="bottom"/>
          </w:tcPr>
          <w:p>
            <w:pPr>
              <w:spacing w:after="0"/>
              <w:rPr>
                <w:sz w:val="14"/>
                <w:szCs w:val="14"/>
                <w:color w:val="auto"/>
              </w:rPr>
            </w:pPr>
          </w:p>
        </w:tc>
        <w:tc>
          <w:tcPr>
            <w:tcW w:w="84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1"/>
              </w:rPr>
              <w:t>Net Loss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Per Share</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Net Loss</w:t>
            </w:r>
          </w:p>
        </w:tc>
        <w:tc>
          <w:tcPr>
            <w:tcW w:w="1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20" w:type="dxa"/>
            <w:vAlign w:val="bottom"/>
            <w:gridSpan w:val="3"/>
          </w:tcPr>
          <w:p>
            <w:pPr>
              <w:ind w:left="20"/>
              <w:spacing w:after="0" w:line="156" w:lineRule="exact"/>
              <w:rPr>
                <w:sz w:val="20"/>
                <w:szCs w:val="20"/>
                <w:color w:val="auto"/>
              </w:rPr>
            </w:pPr>
            <w:r>
              <w:rPr>
                <w:rFonts w:ascii="Arial" w:cs="Arial" w:eastAsia="Arial" w:hAnsi="Arial"/>
                <w:sz w:val="18"/>
                <w:szCs w:val="18"/>
                <w:color w:val="auto"/>
              </w:rPr>
              <w:t>Net loss attributable to common shareholders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(16,460</w:t>
            </w:r>
          </w:p>
        </w:tc>
        <w:tc>
          <w:tcPr>
            <w:tcW w:w="100" w:type="dxa"/>
            <w:vAlign w:val="bottom"/>
            <w:gridSpan w:val="2"/>
          </w:tcPr>
          <w:p>
            <w:pPr>
              <w:jc w:val="right"/>
              <w:spacing w:after="0" w:line="156"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3"/>
                <w:szCs w:val="13"/>
                <w:color w:val="auto"/>
              </w:rPr>
            </w:pP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(0.28</w:t>
            </w:r>
          </w:p>
        </w:tc>
        <w:tc>
          <w:tcPr>
            <w:tcW w:w="220" w:type="dxa"/>
            <w:vAlign w:val="bottom"/>
            <w:gridSpan w:val="2"/>
          </w:tcPr>
          <w:p>
            <w:pPr>
              <w:jc w:val="right"/>
              <w:ind w:right="50"/>
              <w:spacing w:after="0" w:line="15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3"/>
                <w:szCs w:val="13"/>
                <w:color w:val="auto"/>
              </w:rPr>
            </w:pPr>
          </w:p>
        </w:tc>
        <w:tc>
          <w:tcPr>
            <w:tcW w:w="14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(24,051</w:t>
            </w:r>
          </w:p>
        </w:tc>
        <w:tc>
          <w:tcPr>
            <w:tcW w:w="100" w:type="dxa"/>
            <w:vAlign w:val="bottom"/>
            <w:gridSpan w:val="2"/>
          </w:tcPr>
          <w:p>
            <w:pPr>
              <w:jc w:val="right"/>
              <w:spacing w:after="0" w:line="155" w:lineRule="exact"/>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(0.41</w:t>
            </w:r>
          </w:p>
        </w:tc>
        <w:tc>
          <w:tcPr>
            <w:tcW w:w="100" w:type="dxa"/>
            <w:vAlign w:val="bottom"/>
          </w:tcPr>
          <w:p>
            <w:pPr>
              <w:jc w:val="right"/>
              <w:spacing w:after="0" w:line="155"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6440" w:type="dxa"/>
            <w:vAlign w:val="bottom"/>
            <w:gridSpan w:val="4"/>
          </w:tcPr>
          <w:p>
            <w:pPr>
              <w:ind w:left="20"/>
              <w:spacing w:after="0" w:line="243" w:lineRule="exact"/>
              <w:rPr>
                <w:sz w:val="20"/>
                <w:szCs w:val="20"/>
                <w:color w:val="auto"/>
              </w:rPr>
            </w:pPr>
            <w:r>
              <w:rPr>
                <w:rFonts w:ascii="Arial" w:cs="Arial" w:eastAsia="Arial" w:hAnsi="Arial"/>
                <w:sz w:val="18"/>
                <w:szCs w:val="18"/>
                <w:color w:val="auto"/>
              </w:rPr>
              <w:t>Adjustments</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40" w:type="dxa"/>
            <w:vAlign w:val="bottom"/>
            <w:gridSpan w:val="4"/>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13,220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0.23</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11,799</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COVID-19 government relief benefits, net</w:t>
            </w:r>
          </w:p>
        </w:tc>
        <w:tc>
          <w:tcPr>
            <w:tcW w:w="12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(161 )</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(3,465 )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03"/>
        </w:trPr>
        <w:tc>
          <w:tcPr>
            <w:tcW w:w="6440" w:type="dxa"/>
            <w:vAlign w:val="bottom"/>
            <w:gridSpan w:val="4"/>
            <w:shd w:val="clear" w:color="auto" w:fill="CFF0FC"/>
          </w:tcPr>
          <w:p>
            <w:pPr>
              <w:ind w:left="200"/>
              <w:spacing w:after="0" w:line="202" w:lineRule="exact"/>
              <w:rPr>
                <w:sz w:val="20"/>
                <w:szCs w:val="20"/>
                <w:color w:val="auto"/>
              </w:rPr>
            </w:pPr>
            <w:r>
              <w:rPr>
                <w:rFonts w:ascii="Arial" w:cs="Arial" w:eastAsia="Arial" w:hAnsi="Arial"/>
                <w:sz w:val="18"/>
                <w:szCs w:val="18"/>
                <w:color w:val="auto"/>
              </w:rPr>
              <w:t>Legal judgment and arbitration awards</w:t>
            </w: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(1,770 )</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03"/>
        </w:trPr>
        <w:tc>
          <w:tcPr>
            <w:tcW w:w="644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Realized and unrealized investment gains</w:t>
            </w:r>
          </w:p>
        </w:tc>
        <w:tc>
          <w:tcPr>
            <w:tcW w:w="12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(64 )</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(3,710 )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02"/>
        </w:trPr>
        <w:tc>
          <w:tcPr>
            <w:tcW w:w="6440" w:type="dxa"/>
            <w:vAlign w:val="bottom"/>
            <w:gridSpan w:val="4"/>
            <w:shd w:val="clear" w:color="auto" w:fill="CFF0FC"/>
          </w:tcPr>
          <w:p>
            <w:pPr>
              <w:ind w:left="200"/>
              <w:spacing w:after="0" w:line="202" w:lineRule="exact"/>
              <w:rPr>
                <w:sz w:val="20"/>
                <w:szCs w:val="20"/>
                <w:color w:val="auto"/>
              </w:rPr>
            </w:pPr>
            <w:r>
              <w:rPr>
                <w:rFonts w:ascii="Arial" w:cs="Arial" w:eastAsia="Arial" w:hAnsi="Arial"/>
                <w:sz w:val="18"/>
                <w:szCs w:val="18"/>
                <w:color w:val="auto"/>
              </w:rPr>
              <w:t>Tax impact on items listed above</w:t>
            </w: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(857 )</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(0.01 )</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(965 )</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162"/>
        </w:trPr>
        <w:tc>
          <w:tcPr>
            <w:tcW w:w="6440" w:type="dxa"/>
            <w:vAlign w:val="bottom"/>
            <w:gridSpan w:val="4"/>
          </w:tcPr>
          <w:p>
            <w:pPr>
              <w:ind w:left="200"/>
              <w:spacing w:after="0" w:line="162" w:lineRule="exact"/>
              <w:rPr>
                <w:sz w:val="20"/>
                <w:szCs w:val="20"/>
                <w:color w:val="auto"/>
              </w:rPr>
            </w:pPr>
            <w:r>
              <w:rPr>
                <w:rFonts w:ascii="Arial" w:cs="Arial" w:eastAsia="Arial" w:hAnsi="Arial"/>
                <w:sz w:val="18"/>
                <w:szCs w:val="18"/>
                <w:color w:val="auto"/>
              </w:rPr>
              <w:t>Income taxes resulting from management's decision to no longer indefinitely</w:t>
            </w:r>
          </w:p>
        </w:tc>
        <w:tc>
          <w:tcPr>
            <w:tcW w:w="120" w:type="dxa"/>
            <w:vAlign w:val="bottom"/>
          </w:tcPr>
          <w:p>
            <w:pPr>
              <w:spacing w:after="0"/>
              <w:rPr>
                <w:sz w:val="14"/>
                <w:szCs w:val="14"/>
                <w:color w:val="auto"/>
              </w:rPr>
            </w:pPr>
          </w:p>
        </w:tc>
        <w:tc>
          <w:tcPr>
            <w:tcW w:w="840" w:type="dxa"/>
            <w:vAlign w:val="bottom"/>
            <w:gridSpan w:val="3"/>
            <w:vMerge w:val="restart"/>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reinvest the historical earnings of certain foreign subsidiaries</w:t>
            </w:r>
          </w:p>
        </w:tc>
        <w:tc>
          <w:tcPr>
            <w:tcW w:w="1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20" w:type="dxa"/>
            <w:vAlign w:val="bottom"/>
            <w:tcBorders>
              <w:bottom w:val="single" w:sz="8" w:color="CFF0FC"/>
            </w:tcBorders>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Adjusted net loss</w:t>
            </w:r>
            <w:r>
              <w:rPr>
                <w:rFonts w:ascii="Arial" w:cs="Arial" w:eastAsia="Arial" w:hAnsi="Arial"/>
                <w:sz w:val="21"/>
                <w:szCs w:val="21"/>
                <w:color w:val="auto"/>
                <w:vertAlign w:val="superscript"/>
              </w:rPr>
              <w:t>(1)</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(4,322</w:t>
            </w:r>
          </w:p>
        </w:tc>
        <w:tc>
          <w:tcPr>
            <w:tcW w:w="1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(0.07</w:t>
            </w:r>
          </w:p>
        </w:tc>
        <w:tc>
          <w:tcPr>
            <w:tcW w:w="220" w:type="dxa"/>
            <w:vAlign w:val="bottom"/>
            <w:tcBorders>
              <w:bottom w:val="single" w:sz="8" w:color="CFF0FC"/>
            </w:tcBorders>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(21,781</w:t>
            </w:r>
          </w:p>
        </w:tc>
        <w:tc>
          <w:tcPr>
            <w:tcW w:w="100" w:type="dxa"/>
            <w:vAlign w:val="bottom"/>
            <w:tcBorders>
              <w:bottom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(0.37</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6420" w:type="dxa"/>
            <w:vAlign w:val="bottom"/>
            <w:tcBorders>
              <w:top w:val="single" w:sz="8" w:color="CFF0FC"/>
            </w:tcBorders>
            <w:gridSpan w:val="3"/>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440" w:type="dxa"/>
            <w:vAlign w:val="bottom"/>
            <w:tcBorders>
              <w:bottom w:val="single" w:sz="8" w:color="CFF0FC"/>
            </w:tcBorders>
            <w:gridSpan w:val="4"/>
            <w:shd w:val="clear" w:color="auto" w:fill="CFF0FC"/>
          </w:tcPr>
          <w:p>
            <w:pPr>
              <w:ind w:left="20"/>
              <w:spacing w:after="0" w:line="182" w:lineRule="exact"/>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57,943</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59,190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12890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289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-2133600</wp:posOffset>
            </wp:positionV>
            <wp:extent cx="7683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-2117090</wp:posOffset>
            </wp:positionV>
            <wp:extent cx="7683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-1717675</wp:posOffset>
            </wp:positionV>
            <wp:extent cx="7145020" cy="26987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5020" cy="26987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-307975</wp:posOffset>
            </wp:positionV>
            <wp:extent cx="7683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-290830</wp:posOffset>
            </wp:positionV>
            <wp:extent cx="768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-307975</wp:posOffset>
            </wp:positionV>
            <wp:extent cx="6858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-290830</wp:posOffset>
            </wp:positionV>
            <wp:extent cx="6858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-307975</wp:posOffset>
            </wp:positionV>
            <wp:extent cx="6858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-290830</wp:posOffset>
            </wp:positionV>
            <wp:extent cx="6858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Reflects amounts attributable to common shareholders.</w:t>
      </w:r>
    </w:p>
    <w:p>
      <w:pPr>
        <w:spacing w:after="0" w:line="131" w:lineRule="exact"/>
        <w:rPr>
          <w:sz w:val="20"/>
          <w:szCs w:val="20"/>
          <w:color w:val="auto"/>
        </w:rPr>
      </w:pPr>
    </w:p>
    <w:p>
      <w:pPr>
        <w:jc w:val="both"/>
        <w:ind w:firstLine="224"/>
        <w:spacing w:after="0" w:line="239" w:lineRule="auto"/>
        <w:rPr>
          <w:sz w:val="20"/>
          <w:szCs w:val="20"/>
          <w:color w:val="auto"/>
        </w:rPr>
      </w:pPr>
      <w:r>
        <w:rPr>
          <w:rFonts w:ascii="Arial" w:cs="Arial" w:eastAsia="Arial" w:hAnsi="Arial"/>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64"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and (iii) write-downs, net of recoveries, including asset impairments and credit loss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8" w:name="page79"/>
    <w:bookmarkEnd w:id="78"/>
    <w:p>
      <w:pPr>
        <w:ind w:firstLine="224"/>
        <w:spacing w:after="0" w:line="277" w:lineRule="auto"/>
        <w:rPr>
          <w:sz w:val="20"/>
          <w:szCs w:val="20"/>
          <w:color w:val="auto"/>
        </w:rPr>
      </w:pPr>
      <w:r>
        <w:rPr>
          <w:rFonts w:ascii="Arial" w:cs="Arial" w:eastAsia="Arial" w:hAnsi="Arial"/>
          <w:sz w:val="18"/>
          <w:szCs w:val="18"/>
          <w:color w:val="auto"/>
        </w:rPr>
        <w:t>Reconciliations of net loss attributable to common shareholders, which is the most directly comparable GAAP measure, to EBITDA and Adjusted EBITDA per Credit Facility are presented in the tables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3"/>
          </w:tcPr>
          <w:p>
            <w:pPr>
              <w:jc w:val="center"/>
              <w:ind w:right="150"/>
              <w:spacing w:after="0"/>
              <w:rPr>
                <w:sz w:val="20"/>
                <w:szCs w:val="20"/>
                <w:color w:val="auto"/>
              </w:rPr>
            </w:pPr>
            <w:r>
              <w:rPr>
                <w:rFonts w:ascii="Arial" w:cs="Arial" w:eastAsia="Arial" w:hAnsi="Arial"/>
                <w:sz w:val="14"/>
                <w:szCs w:val="14"/>
                <w:b w:val="1"/>
                <w:bCs w:val="1"/>
                <w:color w:val="auto"/>
                <w:w w:val="92"/>
              </w:rPr>
              <w:t xml:space="preserve">For the Three Months Ended June 30, 2022 </w:t>
            </w:r>
            <w:r>
              <w:rPr>
                <w:rFonts w:ascii="Arial" w:cs="Arial" w:eastAsia="Arial" w:hAnsi="Arial"/>
                <w:sz w:val="19"/>
                <w:szCs w:val="19"/>
                <w:b w:val="1"/>
                <w:bCs w:val="1"/>
                <w:color w:val="auto"/>
                <w:w w:val="92"/>
                <w:vertAlign w:val="superscript"/>
              </w:rPr>
              <w:t>(1)</w:t>
            </w:r>
          </w:p>
        </w:tc>
      </w:tr>
      <w:tr>
        <w:trPr>
          <w:trHeight w:val="198"/>
        </w:trPr>
        <w:tc>
          <w:tcPr>
            <w:tcW w:w="1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jc w:val="center"/>
              <w:ind w:right="210"/>
              <w:spacing w:after="0"/>
              <w:rPr>
                <w:sz w:val="20"/>
                <w:szCs w:val="20"/>
                <w:color w:val="auto"/>
              </w:rPr>
            </w:pPr>
            <w:r>
              <w:rPr>
                <w:rFonts w:ascii="Arial" w:cs="Arial" w:eastAsia="Arial" w:hAnsi="Arial"/>
                <w:sz w:val="14"/>
                <w:szCs w:val="14"/>
                <w:b w:val="1"/>
                <w:bCs w:val="1"/>
                <w:color w:val="auto"/>
                <w:w w:val="98"/>
              </w:rPr>
              <w:t>Attributable to</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3"/>
              </w:rPr>
              <w:t>Non-controlling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1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1"/>
              </w:rPr>
              <w:t>Interests and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3"/>
              </w:rPr>
              <w:t>Less: Attributable to</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6"/>
              </w:rPr>
              <w:t>Attributable to</w:t>
            </w:r>
          </w:p>
        </w:tc>
      </w:tr>
      <w:tr>
        <w:trPr>
          <w:trHeight w:val="148"/>
        </w:trPr>
        <w:tc>
          <w:tcPr>
            <w:tcW w:w="15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27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5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 w:type="dxa"/>
            <w:vAlign w:val="bottom"/>
          </w:tcPr>
          <w:p>
            <w:pPr>
              <w:spacing w:after="0"/>
              <w:rPr>
                <w:sz w:val="16"/>
                <w:szCs w:val="16"/>
                <w:color w:val="auto"/>
              </w:rPr>
            </w:pPr>
          </w:p>
        </w:tc>
        <w:tc>
          <w:tcPr>
            <w:tcW w:w="172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2"/>
              </w:rPr>
              <w:t>Common Shareholders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89"/>
              </w:rPr>
              <w:t>Interests</w:t>
            </w:r>
          </w:p>
        </w:tc>
        <w:tc>
          <w:tcPr>
            <w:tcW w:w="40" w:type="dxa"/>
            <w:vAlign w:val="bottom"/>
          </w:tcPr>
          <w:p>
            <w:pPr>
              <w:spacing w:after="0"/>
              <w:rPr>
                <w:sz w:val="16"/>
                <w:szCs w:val="16"/>
                <w:color w:val="auto"/>
              </w:rPr>
            </w:pPr>
          </w:p>
        </w:tc>
        <w:tc>
          <w:tcPr>
            <w:tcW w:w="166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2"/>
              </w:rPr>
              <w:t>Common Shareholders</w:t>
            </w:r>
          </w:p>
        </w:tc>
      </w:tr>
      <w:tr>
        <w:trPr>
          <w:trHeight w:val="196"/>
        </w:trPr>
        <w:tc>
          <w:tcPr>
            <w:tcW w:w="56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Reported net loss</w:t>
            </w: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(4,251</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(1,400</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(2,851</w:t>
            </w:r>
          </w:p>
        </w:tc>
        <w:tc>
          <w:tcPr>
            <w:tcW w:w="1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Add (subtract):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3,133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Interest expense, net of interest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(91 )</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Depreciation and amortization, including film asset amortization</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14,282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1,196</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13,086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7"/>
                <w:szCs w:val="17"/>
                <w:color w:val="auto"/>
              </w:rPr>
              <w:t>Amortization of deferred financing costs</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6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EBITDA</w:t>
            </w: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14,073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14,363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Share-based and other non-cash compensation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7,398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Unrealized investment gains</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gridSpan w:val="3"/>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r>
      <w:tr>
        <w:trPr>
          <w:trHeight w:val="203"/>
        </w:trPr>
        <w:tc>
          <w:tcPr>
            <w:tcW w:w="5660" w:type="dxa"/>
            <w:vAlign w:val="bottom"/>
            <w:tcBorders>
              <w:bottom w:val="single" w:sz="8" w:color="CFF0FC"/>
            </w:tcBorders>
            <w:gridSpan w:val="2"/>
          </w:tcPr>
          <w:p>
            <w:pPr>
              <w:ind w:left="120"/>
              <w:spacing w:after="0" w:line="202" w:lineRule="exact"/>
              <w:rPr>
                <w:sz w:val="20"/>
                <w:szCs w:val="20"/>
                <w:color w:val="auto"/>
              </w:rPr>
            </w:pPr>
            <w:r>
              <w:rPr>
                <w:rFonts w:ascii="Arial" w:cs="Arial" w:eastAsia="Arial" w:hAnsi="Arial"/>
                <w:sz w:val="18"/>
                <w:szCs w:val="18"/>
                <w:color w:val="auto"/>
              </w:rPr>
              <w:t>Write-downs, including asset impairments and credit loss expense</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5,163</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1,477</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3,686</w:t>
            </w: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36"/>
        </w:trPr>
        <w:tc>
          <w:tcPr>
            <w:tcW w:w="566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Adjusted EBITDA per Credit Facility</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26,983</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1,566</w:t>
            </w: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25,417</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575"/>
        </w:trPr>
        <w:tc>
          <w:tcPr>
            <w:tcW w:w="1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gridSpan w:val="13"/>
          </w:tcPr>
          <w:p>
            <w:pPr>
              <w:jc w:val="center"/>
              <w:ind w:right="270"/>
              <w:spacing w:after="0"/>
              <w:rPr>
                <w:sz w:val="20"/>
                <w:szCs w:val="20"/>
                <w:color w:val="auto"/>
              </w:rPr>
            </w:pPr>
            <w:r>
              <w:rPr>
                <w:rFonts w:ascii="Arial" w:cs="Arial" w:eastAsia="Arial" w:hAnsi="Arial"/>
                <w:sz w:val="14"/>
                <w:szCs w:val="14"/>
                <w:b w:val="1"/>
                <w:bCs w:val="1"/>
                <w:color w:val="auto"/>
                <w:w w:val="92"/>
              </w:rPr>
              <w:t xml:space="preserve">For the Twelve Months Ended June 30, 2022 </w:t>
            </w:r>
            <w:r>
              <w:rPr>
                <w:rFonts w:ascii="Arial" w:cs="Arial" w:eastAsia="Arial" w:hAnsi="Arial"/>
                <w:sz w:val="19"/>
                <w:szCs w:val="19"/>
                <w:b w:val="1"/>
                <w:bCs w:val="1"/>
                <w:color w:val="auto"/>
                <w:w w:val="92"/>
                <w:vertAlign w:val="superscript"/>
              </w:rPr>
              <w:t>(1)</w:t>
            </w:r>
          </w:p>
        </w:tc>
      </w:tr>
      <w:tr>
        <w:trPr>
          <w:trHeight w:val="197"/>
        </w:trPr>
        <w:tc>
          <w:tcPr>
            <w:tcW w:w="1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jc w:val="center"/>
              <w:ind w:right="470"/>
              <w:spacing w:after="0"/>
              <w:rPr>
                <w:sz w:val="20"/>
                <w:szCs w:val="20"/>
                <w:color w:val="auto"/>
              </w:rPr>
            </w:pPr>
            <w:r>
              <w:rPr>
                <w:rFonts w:ascii="Arial" w:cs="Arial" w:eastAsia="Arial" w:hAnsi="Arial"/>
                <w:sz w:val="14"/>
                <w:szCs w:val="14"/>
                <w:b w:val="1"/>
                <w:bCs w:val="1"/>
                <w:color w:val="auto"/>
                <w:w w:val="96"/>
              </w:rPr>
              <w:t>Attributable to</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93"/>
              </w:rPr>
              <w:t>Non-controlling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1"/>
              </w:rPr>
              <w:t>Interests and</w:t>
            </w:r>
          </w:p>
        </w:tc>
        <w:tc>
          <w:tcPr>
            <w:tcW w:w="100" w:type="dxa"/>
            <w:vAlign w:val="bottom"/>
          </w:tcPr>
          <w:p>
            <w:pPr>
              <w:spacing w:after="0"/>
              <w:rPr>
                <w:sz w:val="17"/>
                <w:szCs w:val="17"/>
                <w:color w:val="auto"/>
              </w:rPr>
            </w:pPr>
          </w:p>
        </w:tc>
        <w:tc>
          <w:tcPr>
            <w:tcW w:w="176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3"/>
              </w:rPr>
              <w:t>Less: Attributable to</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6"/>
              </w:rPr>
              <w:t>Attributable to</w:t>
            </w:r>
          </w:p>
        </w:tc>
      </w:tr>
      <w:tr>
        <w:trPr>
          <w:trHeight w:val="188"/>
        </w:trPr>
        <w:tc>
          <w:tcPr>
            <w:tcW w:w="5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88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2"/>
              </w:rPr>
              <w:t>Common Shareholders</w:t>
            </w:r>
          </w:p>
        </w:tc>
        <w:tc>
          <w:tcPr>
            <w:tcW w:w="186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2"/>
              </w:rPr>
              <w:t>Non-controlling Interests</w:t>
            </w:r>
          </w:p>
        </w:tc>
        <w:tc>
          <w:tcPr>
            <w:tcW w:w="40" w:type="dxa"/>
            <w:vAlign w:val="bottom"/>
          </w:tcPr>
          <w:p>
            <w:pPr>
              <w:spacing w:after="0"/>
              <w:rPr>
                <w:sz w:val="16"/>
                <w:szCs w:val="16"/>
                <w:color w:val="auto"/>
              </w:rPr>
            </w:pPr>
          </w:p>
        </w:tc>
        <w:tc>
          <w:tcPr>
            <w:tcW w:w="1660" w:type="dxa"/>
            <w:vAlign w:val="bottom"/>
            <w:gridSpan w:val="4"/>
          </w:tcPr>
          <w:p>
            <w:pPr>
              <w:jc w:val="center"/>
              <w:ind w:right="50"/>
              <w:spacing w:after="0"/>
              <w:rPr>
                <w:sz w:val="20"/>
                <w:szCs w:val="20"/>
                <w:color w:val="auto"/>
              </w:rPr>
            </w:pPr>
            <w:r>
              <w:rPr>
                <w:rFonts w:ascii="Arial" w:cs="Arial" w:eastAsia="Arial" w:hAnsi="Arial"/>
                <w:sz w:val="14"/>
                <w:szCs w:val="14"/>
                <w:b w:val="1"/>
                <w:bCs w:val="1"/>
                <w:color w:val="auto"/>
                <w:w w:val="90"/>
              </w:rPr>
              <w:t>Common Shareholders</w:t>
            </w:r>
          </w:p>
        </w:tc>
      </w:tr>
      <w:tr>
        <w:trPr>
          <w:trHeight w:val="196"/>
        </w:trPr>
        <w:tc>
          <w:tcPr>
            <w:tcW w:w="56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Reported net loss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(9,166</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5,572</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(14,738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Add (subtract):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6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21,293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2,683</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18,610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Interest expense, net of interest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(378 )</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1,255</w:t>
            </w: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Depreciation and amortization, including film asset amortization</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57,434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5,565</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51,869</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7"/>
                <w:szCs w:val="17"/>
                <w:color w:val="auto"/>
              </w:rPr>
              <w:t>Amortization of deferred financing costs</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3,258</w:t>
            </w:r>
          </w:p>
        </w:tc>
        <w:tc>
          <w:tcPr>
            <w:tcW w:w="100" w:type="dxa"/>
            <w:vAlign w:val="bottom"/>
          </w:tcPr>
          <w:p>
            <w:pPr>
              <w:spacing w:after="0"/>
              <w:rPr>
                <w:sz w:val="17"/>
                <w:szCs w:val="17"/>
                <w:color w:val="auto"/>
              </w:rPr>
            </w:pPr>
          </w:p>
        </w:tc>
      </w:tr>
      <w:tr>
        <w:trPr>
          <w:trHeight w:val="196"/>
        </w:trPr>
        <w:tc>
          <w:tcPr>
            <w:tcW w:w="56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EBITDA</w:t>
            </w:r>
          </w:p>
        </w:tc>
        <w:tc>
          <w:tcPr>
            <w:tcW w:w="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73,696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13,442</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60,254</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Share-based and other non-cash compensation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27,713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1,105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26,608</w:t>
            </w: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Unrealized investment gains</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(123 )</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gridSpan w:val="3"/>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(123 )</w:t>
            </w:r>
          </w:p>
        </w:tc>
      </w:tr>
      <w:tr>
        <w:trPr>
          <w:trHeight w:val="202"/>
        </w:trPr>
        <w:tc>
          <w:tcPr>
            <w:tcW w:w="5660" w:type="dxa"/>
            <w:vAlign w:val="bottom"/>
            <w:tcBorders>
              <w:bottom w:val="single" w:sz="8" w:color="CFF0FC"/>
            </w:tcBorders>
            <w:gridSpan w:val="2"/>
          </w:tcPr>
          <w:p>
            <w:pPr>
              <w:ind w:left="120"/>
              <w:spacing w:after="0" w:line="202" w:lineRule="exact"/>
              <w:rPr>
                <w:sz w:val="20"/>
                <w:szCs w:val="20"/>
                <w:color w:val="auto"/>
              </w:rPr>
            </w:pPr>
            <w:r>
              <w:rPr>
                <w:rFonts w:ascii="Arial" w:cs="Arial" w:eastAsia="Arial" w:hAnsi="Arial"/>
                <w:sz w:val="18"/>
                <w:szCs w:val="18"/>
                <w:color w:val="auto"/>
              </w:rPr>
              <w:t>Write-downs, including asset impairments and credit loss expense</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11,691</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1,091</w:t>
            </w: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10,600</w:t>
            </w:r>
          </w:p>
        </w:tc>
        <w:tc>
          <w:tcPr>
            <w:tcW w:w="100" w:type="dxa"/>
            <w:vAlign w:val="bottom"/>
            <w:tcBorders>
              <w:bottom w:val="single" w:sz="8" w:color="CFF0FC"/>
            </w:tcBorders>
          </w:tcPr>
          <w:p>
            <w:pPr>
              <w:spacing w:after="0"/>
              <w:rPr>
                <w:sz w:val="17"/>
                <w:szCs w:val="17"/>
                <w:color w:val="auto"/>
              </w:rPr>
            </w:pPr>
          </w:p>
        </w:tc>
      </w:tr>
      <w:tr>
        <w:trPr>
          <w:trHeight w:val="236"/>
        </w:trPr>
        <w:tc>
          <w:tcPr>
            <w:tcW w:w="566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Adjusted EBITDA per Credit Facility</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112,977</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15,638</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59"/>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97,339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-2528570</wp:posOffset>
            </wp:positionV>
            <wp:extent cx="7683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-2510790</wp:posOffset>
            </wp:positionV>
            <wp:extent cx="7683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-2665095</wp:posOffset>
            </wp:positionV>
            <wp:extent cx="7683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-2528570</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-2510790</wp:posOffset>
            </wp:positionV>
            <wp:extent cx="685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-2665095</wp:posOffset>
            </wp:positionV>
            <wp:extent cx="68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-2528570</wp:posOffset>
            </wp:positionV>
            <wp:extent cx="6858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-2510790</wp:posOffset>
            </wp:positionV>
            <wp:extent cx="68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-2665095</wp:posOffset>
            </wp:positionV>
            <wp:extent cx="6858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7747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-153670</wp:posOffset>
            </wp:positionV>
            <wp:extent cx="7747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-307975</wp:posOffset>
            </wp:positionV>
            <wp:extent cx="7747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-153670</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-307975</wp:posOffset>
            </wp:positionV>
            <wp:extent cx="6858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-307975</wp:posOffset>
            </wp:positionV>
            <wp:extent cx="6858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380" w:hanging="372"/>
        <w:spacing w:after="0" w:line="261"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Senior Secured Net Leverage Ratio is calculated using Adjusted EBITDA per Credit Facility determined on a trailing twelve-month basis. (See Note 7 of Notes to Condensed Consolidated Financial Statements in Part I, Item 1.)</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amortization of deferred financing costs is recorded within Interest Expense in the Condensed Consolidated Statements of Operations.</w:t>
      </w:r>
    </w:p>
    <w:p>
      <w:pPr>
        <w:spacing w:after="0" w:line="196"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75" w:lineRule="exact"/>
        <w:rPr>
          <w:sz w:val="20"/>
          <w:szCs w:val="20"/>
          <w:color w:val="auto"/>
        </w:rPr>
      </w:pPr>
    </w:p>
    <w:p>
      <w:pPr>
        <w:jc w:val="both"/>
        <w:ind w:firstLine="224"/>
        <w:spacing w:after="0" w:line="274" w:lineRule="auto"/>
        <w:rPr>
          <w:sz w:val="20"/>
          <w:szCs w:val="20"/>
          <w:color w:val="auto"/>
        </w:rPr>
      </w:pPr>
      <w:r>
        <w:rPr>
          <w:rFonts w:ascii="Arial" w:cs="Arial" w:eastAsia="Arial" w:hAnsi="Arial"/>
          <w:sz w:val="16"/>
          <w:szCs w:val="16"/>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theaters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Euros and Canadian Dollars.</w:t>
      </w:r>
    </w:p>
    <w:p>
      <w:pPr>
        <w:spacing w:after="0" w:line="136"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Company manages its exposure to foreign exchange rate risks through its regular operating and financing activities,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1"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7"/>
          <w:szCs w:val="17"/>
          <w:color w:val="auto"/>
        </w:rPr>
        <w:t>Certain of the Company’s PRC subsidiaries held approximately RMB 390.1 million ($58.1 million) in cash and cash equivalents as of June 30, 2022 (December 31, 2021 — RMB 484.7 million or $76.0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 Item 1A of the Company’s 2021 Form 10-K.)</w:t>
      </w:r>
    </w:p>
    <w:p>
      <w:pPr>
        <w:spacing w:after="0" w:line="139"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For the three and six months ended June 30, 2022, the Company recorded foreign exchange net losses of $(1.7) million and $(1.9) million, respectively, as compared to foreign exchange net gains of $1.1 million and $1.7 million for the three and six months ended June 30, 2021, respectively, associated with the translation of foreign currency denominated monetary assets and liabilities.</w:t>
      </w:r>
    </w:p>
    <w:p>
      <w:pPr>
        <w:spacing w:after="0" w:line="155"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Financial Accounting Standards Board Accounting Standard Codification at inception, and continue to meet hedge effectiveness tests as of June 30, 2022, with settlement dates throughout 2022 and 2023.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(Loss) Income and reclassified to the Condensed Consolidated Statements of Operations when the forecasted transaction occurs. Any ineffective portion is recognized immediately in the Condensed Consolidated Statements of Operations.</w:t>
      </w:r>
    </w:p>
    <w:p>
      <w:pPr>
        <w:spacing w:after="0" w:line="140"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6"/>
          <w:szCs w:val="16"/>
          <w:color w:val="auto"/>
        </w:rPr>
        <w:t>The notional value of foreign currency cash flow hedging instruments that qualify for hedge accounting at June 30, 2022 was $22.0 million (December 31, 2021 — $26.7 million). Losses of $(0.6) million and $(0.3) million were recorded to Other Comprehensive Income (Loss) with respect to the change in fair value of these contracts for the three and six months ended June 30, 2022, respectively, (2021 — gains of $0.3 million and $0.6 million, respectively). Losses of $(0.1) million were reclassified from Accumulated Other Comprehensive (Loss) Income to Selling, General and Administrative Expenses for the three and six months ended June 30, 2022 (2021 — gains of $0.8 million, and $1.1 million, respectively). An unrealized gain of $0.4 million resulting from a change in the classification of certain forward contracts no longer meeting the requirements for hedge accounting were reclassified from Accumulated Other Comprehensive (Loss) Income to Selling, General and Administrative Expenses for the three and six months ended June 30, 2021 (2022 — $nil). The Company currently does not hold any derivatives which are not designated as hedging instruments.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jc w:val="both"/>
        <w:ind w:right="20" w:firstLine="224"/>
        <w:spacing w:after="0" w:line="261"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44" w:lineRule="exact"/>
        <w:rPr>
          <w:sz w:val="20"/>
          <w:szCs w:val="20"/>
          <w:color w:val="auto"/>
        </w:rPr>
      </w:pPr>
    </w:p>
    <w:p>
      <w:pPr>
        <w:jc w:val="both"/>
        <w:ind w:firstLine="224"/>
        <w:spacing w:after="0" w:line="239" w:lineRule="auto"/>
        <w:rPr>
          <w:sz w:val="20"/>
          <w:szCs w:val="20"/>
          <w:color w:val="auto"/>
        </w:rPr>
      </w:pPr>
      <w:r>
        <w:rPr>
          <w:rFonts w:ascii="Arial" w:cs="Arial" w:eastAsia="Arial" w:hAnsi="Arial"/>
          <w:sz w:val="18"/>
          <w:szCs w:val="18"/>
          <w:color w:val="auto"/>
        </w:rPr>
        <w:t>As of June 30, 2022, the Company’s Financing Receivables and working capital items denominated in Canadian Dollars, RMB, Japanese Yen, Euros and other foreign currencies translated into U.S. Dollars was $168.2 million, of which $166.0 million was denominated in RMB. Assuming a 10% appreciation or depreciation in foreign currency exchange rates from the quoted foreign currency exchange rates as of June 30, 2022, the potential change in the fair value of foreign currency-denominated financing receivables and working capital items would have been $16.8 million. A significant portion of the Company’s Selling, General, and Administrative Expenses is denominated in Canadian Dollars. Assuming a 1% change appreciation or depreciation in foreign currency exchange rates as of June 30, 2022, the potential change in the amount of Selling, General, and Administrative Expenses would be $0.1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75"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 The Company had no variable rate debt instruments outstanding as of June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224"/>
        <w:spacing w:after="0"/>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the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2"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of June 30, 2022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June 30, 2022, that have materially affected, or are reasonably likely to materially affect, the Company’s internal control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jc w:val="both"/>
        <w:ind w:right="20" w:firstLine="223"/>
        <w:spacing w:after="0" w:line="261" w:lineRule="auto"/>
        <w:rPr>
          <w:sz w:val="20"/>
          <w:szCs w:val="20"/>
          <w:color w:val="auto"/>
        </w:rPr>
      </w:pPr>
      <w:r>
        <w:rPr>
          <w:rFonts w:ascii="Arial" w:cs="Arial" w:eastAsia="Arial" w:hAnsi="Arial"/>
          <w:sz w:val="18"/>
          <w:szCs w:val="18"/>
          <w:color w:val="auto"/>
        </w:rPr>
        <w:t>See Note 8 of Notes to Condensed Consolidated Financial Statements to the accompanying Condensed Consolidated Financial Statements in Item 1 for information regarding legal proceedings involving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62"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6"/>
          <w:szCs w:val="16"/>
          <w:color w:val="auto"/>
        </w:rPr>
        <w:t>This Form 10-Q and the risk factors below should be read together with, and supplement, the risk factors in Item 1A. Risk Factors in the Company’s 2021 Form 10-K, which describes various risks and uncertainties to which the Company is or may become subject. The risks described below and in the Company’s 2021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OPERATIONS</w:t>
      </w:r>
    </w:p>
    <w:p>
      <w:pPr>
        <w:spacing w:after="0" w:line="216" w:lineRule="exact"/>
        <w:rPr>
          <w:sz w:val="20"/>
          <w:szCs w:val="20"/>
          <w:color w:val="auto"/>
        </w:rPr>
      </w:pPr>
    </w:p>
    <w:p>
      <w:pPr>
        <w:jc w:val="both"/>
        <w:ind w:firstLine="289"/>
        <w:spacing w:after="0" w:line="261" w:lineRule="auto"/>
        <w:rPr>
          <w:sz w:val="20"/>
          <w:szCs w:val="20"/>
          <w:color w:val="auto"/>
        </w:rPr>
      </w:pPr>
      <w:r>
        <w:rPr>
          <w:rFonts w:ascii="Arial" w:cs="Arial" w:eastAsia="Arial" w:hAnsi="Arial"/>
          <w:sz w:val="18"/>
          <w:szCs w:val="18"/>
          <w:b w:val="1"/>
          <w:bCs w:val="1"/>
          <w:i w:val="1"/>
          <w:iCs w:val="1"/>
          <w:color w:val="212529"/>
        </w:rPr>
        <w:t>The Company has experienced a significant decrease in its revenues, earnings, and cash flows due to the COVID-19 pandemic and its business, financial condition and results of operations may continue to be significantly harmed in future reporting periods.</w:t>
      </w:r>
    </w:p>
    <w:p>
      <w:pPr>
        <w:spacing w:after="0" w:line="171"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7"/>
          <w:szCs w:val="17"/>
          <w:color w:val="212529"/>
        </w:rPr>
        <w:t xml:space="preserve">The </w:t>
      </w:r>
      <w:r>
        <w:rPr>
          <w:rFonts w:ascii="Arial" w:cs="Arial" w:eastAsia="Arial" w:hAnsi="Arial"/>
          <w:sz w:val="17"/>
          <w:szCs w:val="17"/>
          <w:color w:val="000000"/>
        </w:rPr>
        <w:t>impact of the COVID-19 pandemic is complex and continuously evolving, resulting in significant disruption to the Company’s business and the</w:t>
      </w:r>
      <w:r>
        <w:rPr>
          <w:rFonts w:ascii="Arial" w:cs="Arial" w:eastAsia="Arial" w:hAnsi="Arial"/>
          <w:sz w:val="17"/>
          <w:szCs w:val="17"/>
          <w:color w:val="212529"/>
        </w:rPr>
        <w:t xml:space="preserve"> </w:t>
      </w:r>
      <w:r>
        <w:rPr>
          <w:rFonts w:ascii="Arial" w:cs="Arial" w:eastAsia="Arial" w:hAnsi="Arial"/>
          <w:sz w:val="17"/>
          <w:szCs w:val="17"/>
          <w:color w:val="000000"/>
        </w:rPr>
        <w:t xml:space="preserve">global economy. At various points during the pandemic, authorities around the world imposed measures intended to control the spread of </w:t>
      </w:r>
      <w:r>
        <w:rPr>
          <w:rFonts w:ascii="Arial" w:cs="Arial" w:eastAsia="Arial" w:hAnsi="Arial"/>
          <w:sz w:val="17"/>
          <w:szCs w:val="17"/>
          <w:color w:val="212529"/>
        </w:rPr>
        <w:t>COVID-19,</w:t>
      </w:r>
      <w:r>
        <w:rPr>
          <w:rFonts w:ascii="Arial" w:cs="Arial" w:eastAsia="Arial" w:hAnsi="Arial"/>
          <w:sz w:val="17"/>
          <w:szCs w:val="17"/>
          <w:color w:val="000000"/>
        </w:rPr>
        <w:t xml:space="preserve"> </w:t>
      </w:r>
      <w:r>
        <w:rPr>
          <w:rFonts w:ascii="Arial" w:cs="Arial" w:eastAsia="Arial" w:hAnsi="Arial"/>
          <w:sz w:val="17"/>
          <w:szCs w:val="17"/>
          <w:color w:val="212529"/>
        </w:rPr>
        <w:t xml:space="preserve">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w:t>
      </w:r>
      <w:r>
        <w:rPr>
          <w:rFonts w:ascii="Arial" w:cs="Arial" w:eastAsia="Arial" w:hAnsi="Arial"/>
          <w:sz w:val="17"/>
          <w:szCs w:val="17"/>
          <w:color w:val="000000"/>
        </w:rPr>
        <w:t>originally</w:t>
      </w:r>
      <w:r>
        <w:rPr>
          <w:rFonts w:ascii="Arial" w:cs="Arial" w:eastAsia="Arial" w:hAnsi="Arial"/>
          <w:sz w:val="17"/>
          <w:szCs w:val="17"/>
          <w:color w:val="212529"/>
        </w:rPr>
        <w:t xml:space="preserve"> </w:t>
      </w:r>
      <w:r>
        <w:rPr>
          <w:rFonts w:ascii="Arial" w:cs="Arial" w:eastAsia="Arial" w:hAnsi="Arial"/>
          <w:sz w:val="17"/>
          <w:szCs w:val="17"/>
          <w:color w:val="000000"/>
        </w:rPr>
        <w:t>scheduled for release in 2020 and early 2021</w:t>
      </w:r>
      <w:r>
        <w:rPr>
          <w:rFonts w:ascii="Arial" w:cs="Arial" w:eastAsia="Arial" w:hAnsi="Arial"/>
          <w:sz w:val="17"/>
          <w:szCs w:val="17"/>
          <w:color w:val="212529"/>
        </w:rPr>
        <w:t>, including many scheduled to be shown in IMAX theaters</w:t>
      </w:r>
      <w:r>
        <w:rPr>
          <w:rFonts w:ascii="Arial" w:cs="Arial" w:eastAsia="Arial" w:hAnsi="Arial"/>
          <w:sz w:val="17"/>
          <w:szCs w:val="17"/>
          <w:color w:val="000000"/>
        </w:rPr>
        <w:t>, while several other films were released directly or concurrently to streaming platforms</w:t>
      </w:r>
      <w:r>
        <w:rPr>
          <w:rFonts w:ascii="Arial" w:cs="Arial" w:eastAsia="Arial" w:hAnsi="Arial"/>
          <w:sz w:val="17"/>
          <w:szCs w:val="17"/>
          <w:color w:val="212529"/>
        </w:rPr>
        <w:t>.</w:t>
      </w:r>
      <w:r>
        <w:rPr>
          <w:rFonts w:ascii="Arial" w:cs="Arial" w:eastAsia="Arial" w:hAnsi="Arial"/>
          <w:sz w:val="17"/>
          <w:szCs w:val="17"/>
          <w:color w:val="000000"/>
        </w:rPr>
        <w:t xml:space="preserve"> Beginning in the third quarter of 2020, stay-at-home orders and capacity restrictions were lifted in many key markets, movie theaters throughout the IMAX network gradually reopened, and movie release schedules have begun to normalize. Note, however, that following the emergence of the Omicron variant and the rise of COVID-19 cases in China in the first quarter of 2022, the Chinese government reinstituted capacity restrictions and safety protocols on large public gatherings, which has led to the temporary closure of theaters in several cities. Throughout the second quarter of 2022, IMAX theaters in China gradually reopened. There continues to be no assurance that movie theaters will remain open or continue to reopen if there is a continued rise of or resurgence in COVID-19 cases in certain jurisdictions. As of June 30, 2022, approximately 90% of the theaters in Greater China were open at various capacities.</w:t>
      </w:r>
    </w:p>
    <w:p>
      <w:pPr>
        <w:spacing w:after="0" w:line="170" w:lineRule="exact"/>
        <w:rPr>
          <w:sz w:val="20"/>
          <w:szCs w:val="20"/>
          <w:color w:val="auto"/>
        </w:rPr>
      </w:pPr>
    </w:p>
    <w:p>
      <w:pPr>
        <w:jc w:val="both"/>
        <w:ind w:firstLine="224"/>
        <w:spacing w:after="0" w:line="243" w:lineRule="auto"/>
        <w:rPr>
          <w:sz w:val="20"/>
          <w:szCs w:val="20"/>
          <w:color w:val="auto"/>
        </w:rPr>
      </w:pPr>
      <w:r>
        <w:rPr>
          <w:rFonts w:ascii="Arial" w:cs="Arial" w:eastAsia="Arial" w:hAnsi="Arial"/>
          <w:sz w:val="18"/>
          <w:szCs w:val="18"/>
          <w:color w:val="212529"/>
        </w:rPr>
        <w:t>Despite the strong performance of numerous blockbuster films in recent quarters, there remains uncertainty around whether and when movie-going will return to historical levels on an annual basis. The timing and extent of a recovery of consumer behavior and willingness to spend discretionary income on movie-going may delay the Company’s ability to generate significant revenue from GBO generated by its exhibitor customers until consumer behavior normalizes and consumer spending fully recovers.</w:t>
      </w:r>
    </w:p>
    <w:p>
      <w:pPr>
        <w:spacing w:after="0" w:line="174"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7"/>
          <w:szCs w:val="17"/>
          <w:color w:val="212529"/>
        </w:rPr>
        <w:t xml:space="preserve">As a result of the financial difficulties faced by certain of the Company’s exhibition customers arising out of pandemic-related theater closures, the Company has experienced and may continue to experience delays in collecting payments due under existing theater sale or lease arrangements. </w:t>
      </w:r>
      <w:r>
        <w:rPr>
          <w:rFonts w:ascii="Arial" w:cs="Arial" w:eastAsia="Arial" w:hAnsi="Arial"/>
          <w:sz w:val="17"/>
          <w:szCs w:val="17"/>
          <w:color w:val="000000"/>
        </w:rPr>
        <w:t>The</w:t>
      </w:r>
      <w:r>
        <w:rPr>
          <w:rFonts w:ascii="Arial" w:cs="Arial" w:eastAsia="Arial" w:hAnsi="Arial"/>
          <w:sz w:val="17"/>
          <w:szCs w:val="17"/>
          <w:color w:val="212529"/>
        </w:rPr>
        <w:t xml:space="preserve"> </w:t>
      </w:r>
      <w:r>
        <w:rPr>
          <w:rFonts w:ascii="Arial" w:cs="Arial" w:eastAsia="Arial" w:hAnsi="Arial"/>
          <w:sz w:val="17"/>
          <w:szCs w:val="17"/>
          <w:color w:val="000000"/>
        </w:rPr>
        <w:t xml:space="preserve">Company’s exhibitor partners may continue to experience operational and/or financial difficulties if the COVID-19 pandemic continues or consumers change their behavior and consumption patterns, which would further increase the risks associated with payments due under existing agreements with the Company. </w:t>
      </w:r>
      <w:r>
        <w:rPr>
          <w:rFonts w:ascii="Arial" w:cs="Arial" w:eastAsia="Arial" w:hAnsi="Arial"/>
          <w:sz w:val="17"/>
          <w:szCs w:val="17"/>
          <w:color w:val="212529"/>
        </w:rPr>
        <w:t>The ability of such partners to make payments cannot be guaranteed and is subject to changing economic circumstances. Further, the Company</w:t>
      </w:r>
      <w:r>
        <w:rPr>
          <w:rFonts w:ascii="Arial" w:cs="Arial" w:eastAsia="Arial" w:hAnsi="Arial"/>
          <w:sz w:val="17"/>
          <w:szCs w:val="17"/>
          <w:color w:val="000000"/>
        </w:rPr>
        <w:t xml:space="preserve"> </w:t>
      </w:r>
      <w:r>
        <w:rPr>
          <w:rFonts w:ascii="Arial" w:cs="Arial" w:eastAsia="Arial" w:hAnsi="Arial"/>
          <w:sz w:val="17"/>
          <w:szCs w:val="17"/>
          <w:color w:val="212529"/>
        </w:rPr>
        <w:t>has had to delay certain theater system installations from backlog and may be required to further delay or cancel such installations in the future. As a result, the Company’s future revenues and cash flows may be adversely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both"/>
        <w:ind w:firstLine="289"/>
        <w:spacing w:after="0" w:line="253" w:lineRule="auto"/>
        <w:rPr>
          <w:sz w:val="20"/>
          <w:szCs w:val="20"/>
          <w:color w:val="auto"/>
        </w:rPr>
      </w:pPr>
      <w:r>
        <w:rPr>
          <w:rFonts w:ascii="Arial" w:cs="Arial" w:eastAsia="Arial" w:hAnsi="Arial"/>
          <w:sz w:val="17"/>
          <w:szCs w:val="17"/>
          <w:color w:val="212529"/>
        </w:rPr>
        <w:t xml:space="preserve">Given the dynamic nature of the circumstances, while the Company has been negatively impacted as of the date of filing of this report, it is difficult to predict the full extent of the adverse impact of the COVID-19 pandemic on the Company’s financial condition, liquidity, business and results of operations in future reporting periods. The extent and duration of such impact on the Company will depend on future developments, including, but not limited to, the duration and scope of the pandemic, the emergence, spread and severity of variants of the virus, the progress made on administering vaccines and developing treatment and the effectiveness of such vaccines and treatments, the progress </w:t>
      </w:r>
      <w:r>
        <w:rPr>
          <w:rFonts w:ascii="Arial" w:cs="Arial" w:eastAsia="Arial" w:hAnsi="Arial"/>
          <w:sz w:val="17"/>
          <w:szCs w:val="17"/>
          <w:color w:val="000000"/>
        </w:rPr>
        <w:t>towards the resumption of normal operations</w:t>
      </w:r>
      <w:r>
        <w:rPr>
          <w:rFonts w:ascii="Arial" w:cs="Arial" w:eastAsia="Arial" w:hAnsi="Arial"/>
          <w:sz w:val="17"/>
          <w:szCs w:val="17"/>
          <w:color w:val="212529"/>
        </w:rPr>
        <w:t xml:space="preserve"> of movie theaters worldwide and their return to historical levels of attendance, the timing of when new films are released, consumer behavior, the solvency of the Company’s exhibitor partners, their ability to make timely payments, any potential construction or installation delays involving our exhibitor partners, the continuing impact of the pandemic on global economic conditions and ongoing government responses to the pandemic. Such events are highly uncertain and cannot be accurately forecasted.</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Arial" w:cs="Arial" w:eastAsia="Arial" w:hAnsi="Arial"/>
          <w:sz w:val="18"/>
          <w:szCs w:val="18"/>
          <w:color w:val="212529"/>
        </w:rPr>
        <w:t>The COVID-19 pandemic and public health measures implemented to contain it may also have the effect of heightening many of the other risks described in the Company's 2021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RELATED TO THE COMPANY’S INTERNATIONAL OPERATIONS</w:t>
      </w:r>
    </w:p>
    <w:p>
      <w:pPr>
        <w:spacing w:after="0" w:line="189" w:lineRule="exact"/>
        <w:rPr>
          <w:sz w:val="20"/>
          <w:szCs w:val="20"/>
          <w:color w:val="auto"/>
        </w:rPr>
      </w:pPr>
    </w:p>
    <w:p>
      <w:pPr>
        <w:jc w:val="both"/>
        <w:ind w:right="20" w:firstLine="224"/>
        <w:spacing w:after="0" w:line="261" w:lineRule="auto"/>
        <w:rPr>
          <w:sz w:val="20"/>
          <w:szCs w:val="20"/>
          <w:color w:val="auto"/>
        </w:rPr>
      </w:pPr>
      <w:r>
        <w:rPr>
          <w:rFonts w:ascii="Arial" w:cs="Arial" w:eastAsia="Arial" w:hAnsi="Arial"/>
          <w:sz w:val="18"/>
          <w:szCs w:val="18"/>
          <w:b w:val="1"/>
          <w:bCs w:val="1"/>
          <w:i w:val="1"/>
          <w:iCs w:val="1"/>
          <w:color w:val="212529"/>
        </w:rPr>
        <w:t>The Company conducts business internationally, which exposes it to uncertainties and risks that could negatively affect its operations, sales, and future growth prospects.</w:t>
      </w:r>
    </w:p>
    <w:p>
      <w:pPr>
        <w:spacing w:after="0" w:line="130"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7"/>
          <w:szCs w:val="17"/>
          <w:color w:val="212529"/>
        </w:rPr>
        <w:t xml:space="preserve">A significant portion of the GBO generated by the Company’s exhibitor customers and its revenues are generated by customers located outside the United States and Canada. Approximately 70%, 77%, and 66% of the Company’s revenues were derived outside of the United States and Canada in 2021, 2020 and 2019, respectively. As of </w:t>
      </w:r>
      <w:r>
        <w:rPr>
          <w:rFonts w:ascii="Arial" w:cs="Arial" w:eastAsia="Arial" w:hAnsi="Arial"/>
          <w:sz w:val="17"/>
          <w:szCs w:val="17"/>
          <w:color w:val="000000"/>
        </w:rPr>
        <w:t>June 30, 2022</w:t>
      </w:r>
      <w:r>
        <w:rPr>
          <w:rFonts w:ascii="Arial" w:cs="Arial" w:eastAsia="Arial" w:hAnsi="Arial"/>
          <w:sz w:val="17"/>
          <w:szCs w:val="17"/>
          <w:color w:val="212529"/>
        </w:rPr>
        <w:t xml:space="preserve">, approximately </w:t>
      </w:r>
      <w:r>
        <w:rPr>
          <w:rFonts w:ascii="Arial" w:cs="Arial" w:eastAsia="Arial" w:hAnsi="Arial"/>
          <w:sz w:val="17"/>
          <w:szCs w:val="17"/>
          <w:color w:val="000000"/>
        </w:rPr>
        <w:t>73</w:t>
      </w:r>
      <w:r>
        <w:rPr>
          <w:rFonts w:ascii="Arial" w:cs="Arial" w:eastAsia="Arial" w:hAnsi="Arial"/>
          <w:sz w:val="17"/>
          <w:szCs w:val="17"/>
          <w:color w:val="212529"/>
        </w:rPr>
        <w:t xml:space="preserve">% of IMAX Theater Systems in backlog are scheduled to be installed in international markets. The Company’s network spanned </w:t>
      </w:r>
      <w:r>
        <w:rPr>
          <w:rFonts w:ascii="Arial" w:cs="Arial" w:eastAsia="Arial" w:hAnsi="Arial"/>
          <w:sz w:val="17"/>
          <w:szCs w:val="17"/>
          <w:color w:val="000000"/>
        </w:rPr>
        <w:t>87</w:t>
      </w:r>
      <w:r>
        <w:rPr>
          <w:rFonts w:ascii="Arial" w:cs="Arial" w:eastAsia="Arial" w:hAnsi="Arial"/>
          <w:sz w:val="17"/>
          <w:szCs w:val="17"/>
          <w:color w:val="212529"/>
        </w:rPr>
        <w:t xml:space="preserve"> different countries as of </w:t>
      </w:r>
      <w:r>
        <w:rPr>
          <w:rFonts w:ascii="Arial" w:cs="Arial" w:eastAsia="Arial" w:hAnsi="Arial"/>
          <w:sz w:val="17"/>
          <w:szCs w:val="17"/>
          <w:color w:val="000000"/>
        </w:rPr>
        <w:t>June 30, 2022</w:t>
      </w:r>
      <w:r>
        <w:rPr>
          <w:rFonts w:ascii="Arial" w:cs="Arial" w:eastAsia="Arial" w:hAnsi="Arial"/>
          <w:sz w:val="17"/>
          <w:szCs w:val="17"/>
          <w:color w:val="212529"/>
        </w:rPr>
        <w:t>,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spacing w:after="0" w:line="67"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new restrictions on access to markets, both for IMAX Theater Systems and films;</w:t>
      </w:r>
    </w:p>
    <w:p>
      <w:pPr>
        <w:spacing w:after="0" w:line="103" w:lineRule="exact"/>
        <w:rPr>
          <w:rFonts w:ascii="Arial" w:cs="Arial" w:eastAsia="Arial" w:hAnsi="Arial"/>
          <w:sz w:val="18"/>
          <w:szCs w:val="18"/>
          <w:color w:val="212529"/>
        </w:rPr>
      </w:pPr>
    </w:p>
    <w:p>
      <w:pPr>
        <w:ind w:left="1020" w:hanging="503"/>
        <w:spacing w:after="0" w:line="261" w:lineRule="auto"/>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unusual or burdensome foreign laws or regulatory requirements or unexpected changes to those laws or requirements, including censorship of content that may restrict what films the Company’s theaters can present;</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fluctuations in the value of various foreign currencies versus the U.S. Dollar and potential currency devaluations;</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7"/>
          <w:szCs w:val="17"/>
          <w:color w:val="212529"/>
        </w:rPr>
      </w:pPr>
      <w:r>
        <w:rPr>
          <w:rFonts w:ascii="Arial" w:cs="Arial" w:eastAsia="Arial" w:hAnsi="Arial"/>
          <w:sz w:val="17"/>
          <w:szCs w:val="17"/>
          <w:color w:val="212529"/>
        </w:rPr>
        <w:t>new tariffs, trade protection measures, import or export licensing requirements, trade embargoes, sanctions, and other trade barriers;</w:t>
      </w:r>
    </w:p>
    <w:p>
      <w:pPr>
        <w:spacing w:after="0" w:line="115" w:lineRule="exact"/>
        <w:rPr>
          <w:rFonts w:ascii="Arial" w:cs="Arial" w:eastAsia="Arial" w:hAnsi="Arial"/>
          <w:sz w:val="17"/>
          <w:szCs w:val="17"/>
          <w:color w:val="212529"/>
        </w:rPr>
      </w:pPr>
    </w:p>
    <w:p>
      <w:pPr>
        <w:ind w:left="1020" w:hanging="503"/>
        <w:spacing w:after="0" w:line="261" w:lineRule="auto"/>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difficulties in obtaining competitively priced key commodities, raw materials, and component parts from various international sources that are needed to manufacture quality products on a timely basis;</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imposition of foreign exchange controls in foreign jurisdictions;</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dependence on foreign distributors and their sales channels;</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reliance on local partners, including in connection with joint revenue sharing arrangements;</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difficulties in staffing and managing foreign operations;</w:t>
      </w:r>
    </w:p>
    <w:p>
      <w:pPr>
        <w:spacing w:after="0" w:line="103" w:lineRule="exact"/>
        <w:rPr>
          <w:rFonts w:ascii="Arial" w:cs="Arial" w:eastAsia="Arial" w:hAnsi="Arial"/>
          <w:sz w:val="18"/>
          <w:szCs w:val="18"/>
          <w:color w:val="212529"/>
        </w:rPr>
      </w:pPr>
    </w:p>
    <w:p>
      <w:pPr>
        <w:ind w:left="1020" w:right="20" w:hanging="503"/>
        <w:spacing w:after="0" w:line="261" w:lineRule="auto"/>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inability to complete installations of IMAX Theater Systems, including as a result of material disruptions or delays in the Company’s supply chains, or collect full payment on installations thereof;</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local business practices that can present challenges to compliance with applicable anti-corruption and bribery laws;</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difficulties in establishing market-appropriate pricing;</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less accurate and/or less reliable box office reporting;</w:t>
      </w:r>
    </w:p>
    <w:p>
      <w:pPr>
        <w:spacing w:after="0" w:line="103" w:lineRule="exact"/>
        <w:rPr>
          <w:rFonts w:ascii="Arial" w:cs="Arial" w:eastAsia="Arial" w:hAnsi="Arial"/>
          <w:sz w:val="18"/>
          <w:szCs w:val="18"/>
          <w:color w:val="212529"/>
        </w:rPr>
      </w:pPr>
    </w:p>
    <w:p>
      <w:pPr>
        <w:ind w:left="1020" w:hanging="503"/>
        <w:spacing w:after="0" w:line="261" w:lineRule="auto"/>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poor recognition of intellectual property rights;</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0"/>
        </w:numPr>
        <w:rPr>
          <w:rFonts w:ascii="Arial" w:cs="Arial" w:eastAsia="Arial" w:hAnsi="Arial"/>
          <w:sz w:val="18"/>
          <w:szCs w:val="18"/>
          <w:color w:val="212529"/>
        </w:rPr>
      </w:pPr>
      <w:r>
        <w:rPr>
          <w:rFonts w:ascii="Arial" w:cs="Arial" w:eastAsia="Arial" w:hAnsi="Arial"/>
          <w:sz w:val="18"/>
          <w:szCs w:val="18"/>
          <w:color w:val="212529"/>
        </w:rPr>
        <w:t>difficulties in enforcing contractual rights;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3" w:name="page84"/>
    <w:bookmarkEnd w:id="83"/>
    <w:p>
      <w:pPr>
        <w:ind w:left="1020" w:hanging="503"/>
        <w:spacing w:after="0"/>
        <w:tabs>
          <w:tab w:leader="none" w:pos="1020" w:val="left"/>
        </w:tabs>
        <w:numPr>
          <w:ilvl w:val="0"/>
          <w:numId w:val="51"/>
        </w:numPr>
        <w:rPr>
          <w:rFonts w:ascii="Arial" w:cs="Arial" w:eastAsia="Arial" w:hAnsi="Arial"/>
          <w:sz w:val="18"/>
          <w:szCs w:val="18"/>
          <w:color w:val="212529"/>
        </w:rPr>
      </w:pPr>
      <w:r>
        <w:rPr>
          <w:rFonts w:ascii="Arial" w:cs="Arial" w:eastAsia="Arial" w:hAnsi="Arial"/>
          <w:sz w:val="18"/>
          <w:szCs w:val="18"/>
          <w:color w:val="212529"/>
        </w:rPr>
        <w:t>inflation;</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51"/>
        </w:numPr>
        <w:rPr>
          <w:rFonts w:ascii="Arial" w:cs="Arial" w:eastAsia="Arial" w:hAnsi="Arial"/>
          <w:sz w:val="17"/>
          <w:szCs w:val="17"/>
          <w:color w:val="212529"/>
        </w:rPr>
      </w:pPr>
      <w:r>
        <w:rPr>
          <w:rFonts w:ascii="Arial" w:cs="Arial" w:eastAsia="Arial" w:hAnsi="Arial"/>
          <w:sz w:val="17"/>
          <w:szCs w:val="17"/>
          <w:color w:val="212529"/>
        </w:rPr>
        <w:t>requirements to provide performance bonds and letters of credit to international customers to secure system component deliveries;</w:t>
      </w:r>
    </w:p>
    <w:p>
      <w:pPr>
        <w:spacing w:after="0" w:line="115" w:lineRule="exact"/>
        <w:rPr>
          <w:rFonts w:ascii="Arial" w:cs="Arial" w:eastAsia="Arial" w:hAnsi="Arial"/>
          <w:sz w:val="17"/>
          <w:szCs w:val="17"/>
          <w:color w:val="212529"/>
        </w:rPr>
      </w:pPr>
    </w:p>
    <w:p>
      <w:pPr>
        <w:ind w:left="1020" w:hanging="503"/>
        <w:spacing w:after="0"/>
        <w:tabs>
          <w:tab w:leader="none" w:pos="1020" w:val="left"/>
        </w:tabs>
        <w:numPr>
          <w:ilvl w:val="0"/>
          <w:numId w:val="51"/>
        </w:numPr>
        <w:rPr>
          <w:rFonts w:ascii="Arial" w:cs="Arial" w:eastAsia="Arial" w:hAnsi="Arial"/>
          <w:sz w:val="16"/>
          <w:szCs w:val="16"/>
          <w:color w:val="212529"/>
        </w:rPr>
      </w:pPr>
      <w:r>
        <w:rPr>
          <w:rFonts w:ascii="Arial" w:cs="Arial" w:eastAsia="Arial" w:hAnsi="Arial"/>
          <w:sz w:val="16"/>
          <w:szCs w:val="16"/>
          <w:color w:val="212529"/>
        </w:rPr>
        <w:t>harm to the IMAX brand from operating in countries with records of controversial government action, including human rights abuses; and</w:t>
      </w:r>
    </w:p>
    <w:p>
      <w:pPr>
        <w:spacing w:after="0" w:line="126" w:lineRule="exact"/>
        <w:rPr>
          <w:rFonts w:ascii="Arial" w:cs="Arial" w:eastAsia="Arial" w:hAnsi="Arial"/>
          <w:sz w:val="16"/>
          <w:szCs w:val="16"/>
          <w:color w:val="212529"/>
        </w:rPr>
      </w:pPr>
    </w:p>
    <w:p>
      <w:pPr>
        <w:ind w:left="1020" w:hanging="503"/>
        <w:spacing w:after="0" w:line="261" w:lineRule="auto"/>
        <w:tabs>
          <w:tab w:leader="none" w:pos="1020" w:val="left"/>
        </w:tabs>
        <w:numPr>
          <w:ilvl w:val="0"/>
          <w:numId w:val="51"/>
        </w:numPr>
        <w:rPr>
          <w:rFonts w:ascii="Arial" w:cs="Arial" w:eastAsia="Arial" w:hAnsi="Arial"/>
          <w:sz w:val="18"/>
          <w:szCs w:val="18"/>
          <w:color w:val="212529"/>
        </w:rPr>
      </w:pPr>
      <w:r>
        <w:rPr>
          <w:rFonts w:ascii="Arial" w:cs="Arial" w:eastAsia="Arial" w:hAnsi="Arial"/>
          <w:sz w:val="18"/>
          <w:szCs w:val="18"/>
          <w:color w:val="212529"/>
        </w:rPr>
        <w:t>political, economic and social instability, which could result in adverse consequences for the Company’s interests in different regions of the world.</w:t>
      </w:r>
    </w:p>
    <w:p>
      <w:pPr>
        <w:spacing w:after="0" w:line="130"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7"/>
          <w:szCs w:val="17"/>
          <w:color w:val="212529"/>
        </w:rPr>
        <w:t>Additionally, global geopolitical tensions and actions that governments take in response may adversely impact the Company. In response to the ongoing conflict between Russia and Ukraine, Canada, the United States, and other countries in which the Company operates have imposed broad sanctions and other restrictive actions against governmental and other entities in Russia, which in turn have and may continue to have an adverse impact on the Company’s business and results of operations in affected regions. In addition, in the wake of the Russia-Ukraine conflict, major movie studios suspended the theatrical release of films in Russia. The lack of new films and content released by movie studios may force Russian exhibitors to reduce their operating hours or temporarily close their theaters, which may lead to financial difficulties and permanent closures of Russian theaters as well as general depression of the Russia exhibition industry. Such operational and financial challenges in the Russian exhibition industry may adversely affect the Company’s future revenues and cash flows in that region. The Company has notified its exhibitor clients in Russia and Belarus that such sanctions and actions constitute a force majeure event under their theater agreements, resulting in the suspension of the Company’s obligations thereunder. The scope, intensity, duration and outcome of the conflict is uncertain. Additionally, given the global nature of the Company’s operations, any protracted conflict or the broader macroeconomic impact of the Russia-Ukraine conflict and sanctions imposed on Russia and other countries could have an adverse impact on the Company’s business, results of operations, financial condition, and future performance (the Company has 22 theater systems in its backlog from Russia and the CIS and Ukraine) and may also magnify the impact of other risks described herein and in the Company’s 2021 Form 10-K, including the risk of cybersecurity attacks, which have increased in connection with the ongoing conflict and may impact information technology systems unrelated to the conflict, or jeopardize critical infrastructure in jurisdictions where the Company operates.</w:t>
      </w:r>
    </w:p>
    <w:p>
      <w:pPr>
        <w:spacing w:after="0" w:line="160"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7"/>
          <w:szCs w:val="17"/>
          <w:color w:val="212529"/>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operate theaters in such countries and have a negative impact on the Company’s financial condition and future growth prospects.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17"/>
          <w:szCs w:val="17"/>
          <w:color w:val="auto"/>
        </w:rPr>
        <w:t>On April 28, 2022, the Company’s Board of Directors approved a 12-month extension to its share repurchase program through June 30, 2023. The extension authorized the Company to repurchase up to the remaining amount available of the original $200.0 million initially authorized under the share repurchase program when it commenced on July 1, 2017.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35" w:lineRule="exact"/>
        <w:rPr>
          <w:sz w:val="20"/>
          <w:szCs w:val="20"/>
          <w:color w:val="auto"/>
        </w:rPr>
      </w:pPr>
    </w:p>
    <w:p>
      <w:pPr>
        <w:jc w:val="both"/>
        <w:ind w:firstLine="223"/>
        <w:spacing w:after="0" w:line="324" w:lineRule="auto"/>
        <w:rPr>
          <w:sz w:val="20"/>
          <w:szCs w:val="20"/>
          <w:color w:val="auto"/>
        </w:rPr>
      </w:pPr>
      <w:r>
        <w:rPr>
          <w:rFonts w:ascii="Arial" w:cs="Arial" w:eastAsia="Arial" w:hAnsi="Arial"/>
          <w:sz w:val="16"/>
          <w:szCs w:val="16"/>
          <w:color w:val="auto"/>
        </w:rPr>
        <w:t>During the three months ended June 30, 2022, the Company repurchased 2,702,548 common shares at an average price of $15.92 per share for a total of $43.0 million, excluding commissions. As of June 30, 2022, the Company has $26.2 million available under its approved repurchase program.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4" w:name="page85"/>
    <w:bookmarkEnd w:id="84"/>
    <w:p>
      <w:pPr>
        <w:ind w:left="240"/>
        <w:spacing w:after="0"/>
        <w:rPr>
          <w:sz w:val="20"/>
          <w:szCs w:val="20"/>
          <w:color w:val="auto"/>
        </w:rPr>
      </w:pPr>
      <w:r>
        <w:rPr>
          <w:rFonts w:ascii="Arial" w:cs="Arial" w:eastAsia="Arial" w:hAnsi="Arial"/>
          <w:sz w:val="18"/>
          <w:szCs w:val="18"/>
          <w:color w:val="auto"/>
        </w:rPr>
        <w:t>The Company’s common share repurchase program activity for the three months ended June 30, 2022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value of shares</w:t>
            </w:r>
          </w:p>
        </w:tc>
        <w:tc>
          <w:tcPr>
            <w:tcW w:w="26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 value of shares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that may yet be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1680" w:type="dxa"/>
            <w:vAlign w:val="bottom"/>
            <w:vMerge w:val="restart"/>
          </w:tcPr>
          <w:p>
            <w:pPr>
              <w:jc w:val="right"/>
              <w:ind w:right="56"/>
              <w:spacing w:after="0" w:line="149" w:lineRule="exact"/>
              <w:rPr>
                <w:sz w:val="20"/>
                <w:szCs w:val="20"/>
                <w:color w:val="auto"/>
              </w:rPr>
            </w:pPr>
            <w:r>
              <w:rPr>
                <w:rFonts w:ascii="Arial" w:cs="Arial" w:eastAsia="Arial" w:hAnsi="Arial"/>
                <w:sz w:val="14"/>
                <w:szCs w:val="14"/>
                <w:b w:val="1"/>
                <w:bCs w:val="1"/>
                <w:color w:val="auto"/>
                <w:w w:val="98"/>
              </w:rPr>
              <w:t>Total number of shares</w:t>
            </w:r>
          </w:p>
        </w:tc>
        <w:tc>
          <w:tcPr>
            <w:tcW w:w="300" w:type="dxa"/>
            <w:vAlign w:val="bottom"/>
          </w:tcPr>
          <w:p>
            <w:pPr>
              <w:spacing w:after="0"/>
              <w:rPr>
                <w:sz w:val="5"/>
                <w:szCs w:val="5"/>
                <w:color w:val="auto"/>
              </w:rPr>
            </w:pPr>
          </w:p>
        </w:tc>
        <w:tc>
          <w:tcPr>
            <w:tcW w:w="1560" w:type="dxa"/>
            <w:vAlign w:val="bottom"/>
            <w:gridSpan w:val="2"/>
            <w:vMerge w:val="restart"/>
          </w:tcPr>
          <w:p>
            <w:pPr>
              <w:jc w:val="right"/>
              <w:ind w:right="14"/>
              <w:spacing w:after="0" w:line="149" w:lineRule="exact"/>
              <w:rPr>
                <w:sz w:val="20"/>
                <w:szCs w:val="20"/>
                <w:color w:val="auto"/>
              </w:rPr>
            </w:pPr>
            <w:r>
              <w:rPr>
                <w:rFonts w:ascii="Arial" w:cs="Arial" w:eastAsia="Arial" w:hAnsi="Arial"/>
                <w:sz w:val="14"/>
                <w:szCs w:val="14"/>
                <w:b w:val="1"/>
                <w:bCs w:val="1"/>
                <w:color w:val="auto"/>
                <w:w w:val="95"/>
              </w:rPr>
              <w:t>Average price paid per</w:t>
            </w:r>
          </w:p>
        </w:tc>
        <w:tc>
          <w:tcPr>
            <w:tcW w:w="2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program</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640" w:type="dxa"/>
            <w:vAlign w:val="bottom"/>
          </w:tcPr>
          <w:p>
            <w:pPr>
              <w:spacing w:after="0"/>
              <w:rPr>
                <w:sz w:val="9"/>
                <w:szCs w:val="9"/>
                <w:color w:val="auto"/>
              </w:rPr>
            </w:pPr>
          </w:p>
        </w:tc>
        <w:tc>
          <w:tcPr>
            <w:tcW w:w="16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260" w:type="dxa"/>
            <w:vAlign w:val="bottom"/>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April 1 through April 30, 2022</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869,048</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16.42</w:t>
            </w:r>
          </w:p>
        </w:tc>
        <w:tc>
          <w:tcPr>
            <w:tcW w:w="2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14,268,458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54,941,813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May 1 through May 31, 2022</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1,022,642</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16,017,673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38,924,140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June 1 through June 30, 2022</w:t>
            </w: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810,858</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15.72</w:t>
            </w:r>
          </w:p>
        </w:tc>
        <w:tc>
          <w:tcPr>
            <w:tcW w:w="26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12,743,037</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26,181,103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2,702,548</w:t>
            </w:r>
          </w:p>
        </w:tc>
        <w:tc>
          <w:tcPr>
            <w:tcW w:w="660" w:type="dxa"/>
            <w:vAlign w:val="bottom"/>
            <w:gridSpan w:val="2"/>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15.92</w:t>
            </w: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43,029,167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-159385</wp:posOffset>
            </wp:positionV>
            <wp:extent cx="76835"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-159385</wp:posOffset>
            </wp:positionV>
            <wp:extent cx="68580"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-159385</wp:posOffset>
            </wp:positionV>
            <wp:extent cx="68580"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Subsequent to June 30, 2022 and through July 27, 2022, the Company completed repurchases through a 10b5-1 program of 71,467 shares at an average price of $15.93 per share, for a total cost of $1.1 million, excluding commissions.</w:t>
      </w:r>
    </w:p>
    <w:p>
      <w:pPr>
        <w:spacing w:after="0" w:line="130"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7"/>
          <w:szCs w:val="17"/>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expired on the date of the 2022 Annual General Meeting of IMAX China on June 23, 2022. During the 2022 Annual General Meeting, shareholders approved the repurchase of shares of IMAX China not to exceed 10% of the total number of issued shares as of June 23, 2022 (34,063,480 shares). This program will be valid until the 2023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IMAX China did not repurchase any common shares during the three months ended June 30, 2022.</w:t>
      </w:r>
    </w:p>
    <w:p>
      <w:pPr>
        <w:spacing w:after="0" w:line="153"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The total number of shares purchased during the six months ended June 30, 2022, under both the Company and IMAX China’s repurchase plans, does not include any shares purchased in the administration of employee share-based compensation plans.</w:t>
      </w:r>
    </w:p>
    <w:p>
      <w:pPr>
        <w:spacing w:after="0" w:line="130"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(See Note 7 of Notes to Condensed Consolidated Financial Statements in Part I, Item 1 for a summary of the material terms and conditions of the Company’s revolving credit facility, which include a limitation of the amount of permitted 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8"/>
                <w:szCs w:val="18"/>
                <w:color w:val="auto"/>
              </w:rPr>
            </w:pPr>
          </w:p>
        </w:tc>
        <w:tc>
          <w:tcPr>
            <w:tcW w:w="100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18"/>
                <w:szCs w:val="18"/>
                <w:color w:val="auto"/>
              </w:rPr>
            </w:pPr>
          </w:p>
        </w:tc>
        <w:tc>
          <w:tcPr>
            <w:tcW w:w="100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7240" w:type="dxa"/>
            <w:vAlign w:val="bottom"/>
            <w:tcBorders>
              <w:bottom w:val="single" w:sz="8" w:color="0000FF"/>
            </w:tcBorders>
          </w:tcPr>
          <w:p>
            <w:pPr>
              <w:spacing w:after="0" w:line="169" w:lineRule="exact"/>
              <w:rPr>
                <w:rFonts w:ascii="Arial" w:cs="Arial" w:eastAsia="Arial" w:hAnsi="Arial"/>
                <w:sz w:val="18"/>
                <w:szCs w:val="18"/>
                <w:color w:val="0000FF"/>
                <w:w w:val="90"/>
              </w:rPr>
            </w:pPr>
            <w:hyperlink w:anchor="page87">
              <w:r>
                <w:rPr>
                  <w:rFonts w:ascii="Arial" w:cs="Arial" w:eastAsia="Arial" w:hAnsi="Arial"/>
                  <w:sz w:val="18"/>
                  <w:szCs w:val="18"/>
                  <w:color w:val="0000FF"/>
                  <w:w w:val="90"/>
                </w:rPr>
                <w:t>Employment Agreement, dated April 25, 2022, between IMAX Corporation and Natasha Fernandes.</w:t>
              </w:r>
            </w:hyperlink>
          </w:p>
        </w:tc>
        <w:tc>
          <w:tcPr>
            <w:tcW w:w="20" w:type="dxa"/>
            <w:vAlign w:val="bottom"/>
            <w:tcBorders>
              <w:bottom w:val="single" w:sz="8" w:color="0000EE"/>
            </w:tcBorders>
          </w:tcPr>
          <w:p>
            <w:pPr>
              <w:spacing w:after="0"/>
              <w:rPr>
                <w:sz w:val="14"/>
                <w:szCs w:val="14"/>
                <w:color w:val="auto"/>
              </w:rPr>
            </w:pPr>
          </w:p>
        </w:tc>
        <w:tc>
          <w:tcPr>
            <w:tcW w:w="2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Certification Pursuant to Section 302 of the Sarbanes-Oxley Act of 2002, dated July 28, 2022, by Richard L. Gelfond.</w:t>
              </w:r>
            </w:hyperlink>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8480" w:type="dxa"/>
            <w:vAlign w:val="bottom"/>
            <w:tcBorders>
              <w:top w:val="single" w:sz="8" w:color="0000FF"/>
            </w:tcBorders>
            <w:gridSpan w:val="4"/>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Certification Pursuant to Section 302 of the Sarbanes-Oxley Act of 2002, dated July 28, 2022, by Natasha Fernandes.</w:t>
              </w:r>
            </w:hyperlink>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460" w:type="dxa"/>
            <w:vAlign w:val="bottom"/>
            <w:tcBorders>
              <w:right w:val="single" w:sz="8" w:color="0000EE"/>
            </w:tcBorders>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Certification Pursuant to Section 906 of the Sarbanes-Oxley Act of 2002, dated July 28, 2022, by Richard L. Gelfond.</w:t>
              </w:r>
            </w:hyperlink>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8480" w:type="dxa"/>
            <w:vAlign w:val="bottom"/>
            <w:tcBorders>
              <w:top w:val="single" w:sz="8" w:color="0000FF"/>
            </w:tcBorders>
            <w:gridSpan w:val="4"/>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Certification Pursuant to Section 906 of the Sarbanes-Oxley Act of 2002, dated July 28, 2022, by Natasha Fernandes.</w:t>
              </w:r>
            </w:hyperlink>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460" w:type="dxa"/>
            <w:vAlign w:val="bottom"/>
            <w:tcBorders>
              <w:right w:val="single" w:sz="8" w:color="0000EE"/>
            </w:tcBorders>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7"/>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contract or arrangement.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60" w:type="dxa"/>
            <w:vAlign w:val="bottom"/>
            <w:gridSpan w:val="2"/>
          </w:tcPr>
          <w:p>
            <w:pPr>
              <w:ind w:left="2140"/>
              <w:spacing w:after="0"/>
              <w:rPr>
                <w:sz w:val="20"/>
                <w:szCs w:val="20"/>
                <w:color w:val="auto"/>
              </w:rPr>
            </w:pPr>
            <w:r>
              <w:rPr>
                <w:rFonts w:ascii="Arial" w:cs="Arial" w:eastAsia="Arial" w:hAnsi="Arial"/>
                <w:sz w:val="18"/>
                <w:szCs w:val="18"/>
                <w:color w:val="auto"/>
              </w:rPr>
              <w:t>IMAX CORPORATION</w:t>
            </w:r>
          </w:p>
        </w:tc>
      </w:tr>
      <w:tr>
        <w:trPr>
          <w:trHeight w:val="392"/>
        </w:trPr>
        <w:tc>
          <w:tcPr>
            <w:tcW w:w="3480" w:type="dxa"/>
            <w:vAlign w:val="bottom"/>
          </w:tcPr>
          <w:p>
            <w:pPr>
              <w:ind w:left="20"/>
              <w:spacing w:after="0"/>
              <w:rPr>
                <w:sz w:val="20"/>
                <w:szCs w:val="20"/>
                <w:color w:val="auto"/>
              </w:rPr>
            </w:pPr>
            <w:r>
              <w:rPr>
                <w:rFonts w:ascii="Arial" w:cs="Arial" w:eastAsia="Arial" w:hAnsi="Arial"/>
                <w:sz w:val="18"/>
                <w:szCs w:val="18"/>
                <w:color w:val="auto"/>
              </w:rPr>
              <w:t>Date: July 28, 2022</w:t>
            </w:r>
          </w:p>
        </w:tc>
        <w:tc>
          <w:tcPr>
            <w:tcW w:w="2520" w:type="dxa"/>
            <w:vAlign w:val="bottom"/>
          </w:tcPr>
          <w:p>
            <w:pPr>
              <w:ind w:left="21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182"/>
        </w:trPr>
        <w:tc>
          <w:tcPr>
            <w:tcW w:w="34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40" w:type="dxa"/>
            <w:vAlign w:val="bottom"/>
          </w:tcPr>
          <w:p>
            <w:pPr>
              <w:ind w:left="20"/>
              <w:spacing w:after="0" w:line="182" w:lineRule="exact"/>
              <w:rPr>
                <w:sz w:val="20"/>
                <w:szCs w:val="20"/>
                <w:color w:val="auto"/>
              </w:rPr>
            </w:pPr>
            <w:r>
              <w:rPr>
                <w:rFonts w:ascii="Arial" w:cs="Arial" w:eastAsia="Arial" w:hAnsi="Arial"/>
                <w:sz w:val="18"/>
                <w:szCs w:val="18"/>
                <w:color w:val="auto"/>
              </w:rPr>
              <w:t>Natasha Fernandes</w:t>
            </w:r>
          </w:p>
        </w:tc>
      </w:tr>
      <w:tr>
        <w:trPr>
          <w:trHeight w:val="203"/>
        </w:trPr>
        <w:tc>
          <w:tcPr>
            <w:tcW w:w="3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392"/>
        </w:trPr>
        <w:tc>
          <w:tcPr>
            <w:tcW w:w="3480" w:type="dxa"/>
            <w:vAlign w:val="bottom"/>
          </w:tcPr>
          <w:p>
            <w:pPr>
              <w:ind w:left="20"/>
              <w:spacing w:after="0"/>
              <w:rPr>
                <w:sz w:val="20"/>
                <w:szCs w:val="20"/>
                <w:color w:val="auto"/>
              </w:rPr>
            </w:pPr>
            <w:r>
              <w:rPr>
                <w:rFonts w:ascii="Arial" w:cs="Arial" w:eastAsia="Arial" w:hAnsi="Arial"/>
                <w:sz w:val="18"/>
                <w:szCs w:val="18"/>
                <w:color w:val="auto"/>
              </w:rPr>
              <w:t>Date: July 28, 2022</w:t>
            </w:r>
          </w:p>
        </w:tc>
        <w:tc>
          <w:tcPr>
            <w:tcW w:w="2520" w:type="dxa"/>
            <w:vAlign w:val="bottom"/>
          </w:tcPr>
          <w:p>
            <w:pPr>
              <w:ind w:left="21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M. DELANEY</w:t>
            </w:r>
          </w:p>
        </w:tc>
      </w:tr>
      <w:tr>
        <w:trPr>
          <w:trHeight w:val="182"/>
        </w:trPr>
        <w:tc>
          <w:tcPr>
            <w:tcW w:w="34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40" w:type="dxa"/>
            <w:vAlign w:val="bottom"/>
          </w:tcPr>
          <w:p>
            <w:pPr>
              <w:ind w:left="20"/>
              <w:spacing w:after="0" w:line="182" w:lineRule="exact"/>
              <w:rPr>
                <w:sz w:val="20"/>
                <w:szCs w:val="20"/>
                <w:color w:val="auto"/>
              </w:rPr>
            </w:pPr>
            <w:r>
              <w:rPr>
                <w:rFonts w:ascii="Arial" w:cs="Arial" w:eastAsia="Arial" w:hAnsi="Arial"/>
                <w:sz w:val="18"/>
                <w:szCs w:val="18"/>
                <w:color w:val="auto"/>
              </w:rPr>
              <w:t>Kevin M. Delaney</w:t>
            </w:r>
          </w:p>
        </w:tc>
      </w:tr>
      <w:tr>
        <w:trPr>
          <w:trHeight w:val="203"/>
        </w:trPr>
        <w:tc>
          <w:tcPr>
            <w:tcW w:w="3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Senior Vice-President, Finance &amp; Controller</w:t>
            </w:r>
          </w:p>
        </w:tc>
      </w:tr>
      <w:tr>
        <w:trPr>
          <w:trHeight w:val="230"/>
        </w:trPr>
        <w:tc>
          <w:tcPr>
            <w:tcW w:w="3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621"/>
        </w:trPr>
        <w:tc>
          <w:tcPr>
            <w:tcW w:w="3480" w:type="dxa"/>
            <w:vAlign w:val="bottom"/>
          </w:tcPr>
          <w:p>
            <w:pPr>
              <w:spacing w:after="0"/>
              <w:rPr>
                <w:sz w:val="24"/>
                <w:szCs w:val="24"/>
                <w:color w:val="auto"/>
              </w:rPr>
            </w:pP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5240" w:type="dxa"/>
            <w:vAlign w:val="bottom"/>
          </w:tcPr>
          <w:p>
            <w:pPr>
              <w:spacing w:after="0"/>
              <w:rPr>
                <w:sz w:val="24"/>
                <w:szCs w:val="24"/>
                <w:color w:val="auto"/>
              </w:rPr>
            </w:pPr>
          </w:p>
        </w:tc>
      </w:tr>
      <w:tr>
        <w:trPr>
          <w:trHeight w:val="102"/>
        </w:trPr>
        <w:tc>
          <w:tcPr>
            <w:tcW w:w="348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5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5"/>
          <w:szCs w:val="25"/>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191260" cy="2317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9126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April 25,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Strictly Private &amp; Confidential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Natasha Fernandes</w:t>
      </w:r>
    </w:p>
    <w:p>
      <w:pPr>
        <w:spacing w:after="0" w:line="227" w:lineRule="auto"/>
        <w:rPr>
          <w:sz w:val="20"/>
          <w:szCs w:val="20"/>
          <w:color w:val="auto"/>
        </w:rPr>
      </w:pPr>
      <w:r>
        <w:rPr>
          <w:rFonts w:ascii="Arial" w:cs="Arial" w:eastAsia="Arial" w:hAnsi="Arial"/>
          <w:sz w:val="20"/>
          <w:szCs w:val="20"/>
          <w:color w:val="auto"/>
        </w:rPr>
        <w:t>154 Summerfield Dr</w:t>
      </w:r>
    </w:p>
    <w:p>
      <w:pPr>
        <w:spacing w:after="0" w:line="225" w:lineRule="auto"/>
        <w:rPr>
          <w:sz w:val="20"/>
          <w:szCs w:val="20"/>
          <w:color w:val="auto"/>
        </w:rPr>
      </w:pPr>
      <w:r>
        <w:rPr>
          <w:rFonts w:ascii="Arial" w:cs="Arial" w:eastAsia="Arial" w:hAnsi="Arial"/>
          <w:sz w:val="20"/>
          <w:szCs w:val="20"/>
          <w:color w:val="auto"/>
        </w:rPr>
        <w:t>Oakville, 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L6L 5N8</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Dear Natasha,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We are pleased to provide you with the details of your promotion below:</w:t>
      </w:r>
    </w:p>
    <w:p>
      <w:pPr>
        <w:sectPr>
          <w:pgSz w:w="11900" w:h="16838" w:orient="portrait"/>
          <w:cols w:equalWidth="0" w:num="1">
            <w:col w:w="11200"/>
          </w:cols>
          <w:pgMar w:left="320" w:top="319" w:right="37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Job Title: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ectPr>
          <w:pgSz w:w="11900" w:h="16838" w:orient="portrait"/>
          <w:cols w:equalWidth="0" w:num="2">
            <w:col w:w="880" w:space="720"/>
            <w:col w:w="9600"/>
          </w:cols>
          <w:pgMar w:left="320" w:top="319" w:right="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Reporting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Rich Gelfond, CEO</w:t>
      </w:r>
    </w:p>
    <w:p>
      <w:pPr>
        <w:spacing w:after="0" w:line="200" w:lineRule="exact"/>
        <w:rPr>
          <w:sz w:val="20"/>
          <w:szCs w:val="20"/>
          <w:color w:val="auto"/>
        </w:rPr>
      </w:pPr>
    </w:p>
    <w:p>
      <w:pPr>
        <w:sectPr>
          <w:pgSz w:w="11900" w:h="16838" w:orient="portrait"/>
          <w:cols w:equalWidth="0" w:num="2">
            <w:col w:w="1060" w:space="140"/>
            <w:col w:w="10000"/>
          </w:cols>
          <w:pgMar w:left="320" w:top="319" w:right="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 1, 2022</w:t>
      </w:r>
    </w:p>
    <w:p>
      <w:pPr>
        <w:spacing w:after="0" w:line="200" w:lineRule="exact"/>
        <w:rPr>
          <w:sz w:val="20"/>
          <w:szCs w:val="20"/>
          <w:color w:val="auto"/>
        </w:rPr>
      </w:pPr>
    </w:p>
    <w:p>
      <w:pPr>
        <w:sectPr>
          <w:pgSz w:w="11900" w:h="16838" w:orient="portrait"/>
          <w:cols w:equalWidth="0" w:num="2">
            <w:col w:w="1200" w:space="400"/>
            <w:col w:w="9600"/>
          </w:cols>
          <w:pgMar w:left="320" w:top="319" w:right="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Base Salary:</w:t>
      </w:r>
    </w:p>
    <w:p>
      <w:pPr>
        <w:spacing w:after="0" w:line="20" w:lineRule="exact"/>
        <w:rPr>
          <w:sz w:val="20"/>
          <w:szCs w:val="20"/>
          <w:color w:val="auto"/>
        </w:rPr>
      </w:pPr>
      <w:r>
        <w:rPr>
          <w:sz w:val="20"/>
          <w:szCs w:val="20"/>
          <w:color w:val="auto"/>
        </w:rPr>
        <w:br w:type="column"/>
      </w:r>
    </w:p>
    <w:p>
      <w:pPr>
        <w:ind w:right="500" w:hanging="662"/>
        <w:spacing w:after="0" w:line="246" w:lineRule="auto"/>
        <w:rPr>
          <w:sz w:val="20"/>
          <w:szCs w:val="20"/>
          <w:color w:val="auto"/>
        </w:rPr>
      </w:pPr>
      <w:r>
        <w:rPr>
          <w:rFonts w:ascii="Arial" w:cs="Arial" w:eastAsia="Arial" w:hAnsi="Arial"/>
          <w:sz w:val="20"/>
          <w:szCs w:val="20"/>
          <w:color w:val="auto"/>
        </w:rPr>
        <w:t>$460,161.37 CAD per annum. We will also guarantee a new salary of $500,000 CAD effective April 1, 2023, with review annually from that point forward during the normal compensation process.</w:t>
      </w:r>
    </w:p>
    <w:p>
      <w:pPr>
        <w:spacing w:after="0" w:line="163" w:lineRule="exact"/>
        <w:rPr>
          <w:sz w:val="20"/>
          <w:szCs w:val="20"/>
          <w:color w:val="auto"/>
        </w:rPr>
      </w:pPr>
    </w:p>
    <w:p>
      <w:pPr>
        <w:sectPr>
          <w:pgSz w:w="11900" w:h="16838" w:orient="portrait"/>
          <w:cols w:equalWidth="0" w:num="2">
            <w:col w:w="1540" w:space="720"/>
            <w:col w:w="8940"/>
          </w:cols>
          <w:pgMar w:left="320" w:top="319" w:right="379" w:bottom="1440" w:gutter="0" w:footer="0" w:header="0"/>
          <w:type w:val="continuous"/>
        </w:sectPr>
      </w:pPr>
    </w:p>
    <w:p>
      <w:pPr>
        <w:spacing w:after="0"/>
        <w:tabs>
          <w:tab w:leader="none" w:pos="1820" w:val="left"/>
        </w:tabs>
        <w:rPr>
          <w:sz w:val="20"/>
          <w:szCs w:val="20"/>
          <w:color w:val="auto"/>
        </w:rPr>
      </w:pPr>
      <w:r>
        <w:rPr>
          <w:rFonts w:ascii="Arial" w:cs="Arial" w:eastAsia="Arial" w:hAnsi="Arial"/>
          <w:sz w:val="20"/>
          <w:szCs w:val="20"/>
          <w:color w:val="auto"/>
        </w:rPr>
        <w:t>Tax Preparation</w:t>
      </w:r>
      <w:r>
        <w:rPr>
          <w:sz w:val="20"/>
          <w:szCs w:val="20"/>
          <w:color w:val="auto"/>
        </w:rPr>
        <w:tab/>
      </w:r>
      <w:r>
        <w:rPr>
          <w:rFonts w:ascii="Arial" w:cs="Arial" w:eastAsia="Arial" w:hAnsi="Arial"/>
          <w:sz w:val="18"/>
          <w:szCs w:val="18"/>
          <w:color w:val="auto"/>
        </w:rPr>
        <w:t>The Company will provide the services of a Company-designated Assistance:</w:t>
      </w:r>
    </w:p>
    <w:p>
      <w:pPr>
        <w:spacing w:after="0" w:line="227" w:lineRule="auto"/>
        <w:rPr>
          <w:sz w:val="20"/>
          <w:szCs w:val="20"/>
          <w:color w:val="auto"/>
        </w:rPr>
      </w:pPr>
      <w:r>
        <w:rPr>
          <w:rFonts w:ascii="Arial" w:cs="Arial" w:eastAsia="Arial" w:hAnsi="Arial"/>
          <w:sz w:val="20"/>
          <w:szCs w:val="20"/>
          <w:color w:val="auto"/>
        </w:rPr>
        <w:t>in preparing and filing your Canadian</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and US tax returns, as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consultant to assist</w:t>
      </w:r>
    </w:p>
    <w:p>
      <w:pPr>
        <w:spacing w:after="0" w:line="666" w:lineRule="exact"/>
        <w:rPr>
          <w:sz w:val="20"/>
          <w:szCs w:val="20"/>
          <w:color w:val="auto"/>
        </w:rPr>
      </w:pPr>
    </w:p>
    <w:p>
      <w:pPr>
        <w:sectPr>
          <w:pgSz w:w="11900" w:h="16838" w:orient="portrait"/>
          <w:cols w:equalWidth="0" w:num="2">
            <w:col w:w="8620" w:space="720"/>
            <w:col w:w="1860"/>
          </w:cols>
          <w:pgMar w:left="320" w:top="319" w:right="379" w:bottom="1440" w:gutter="0" w:footer="0" w:header="0"/>
          <w:type w:val="continuous"/>
        </w:sectPr>
      </w:pPr>
    </w:p>
    <w:p>
      <w:pPr>
        <w:spacing w:after="0"/>
        <w:rPr>
          <w:sz w:val="20"/>
          <w:szCs w:val="20"/>
          <w:color w:val="auto"/>
        </w:rPr>
      </w:pPr>
      <w:r>
        <w:rPr>
          <w:rFonts w:ascii="Arial" w:cs="Arial" w:eastAsia="Arial" w:hAnsi="Arial"/>
          <w:sz w:val="16"/>
          <w:szCs w:val="16"/>
          <w:color w:val="auto"/>
        </w:rPr>
        <w:t>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You will continue to be eligible to participate in the IMAX performance bonus program (the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Calculation of</w:t>
      </w:r>
    </w:p>
    <w:p>
      <w:pPr>
        <w:spacing w:after="0" w:line="43" w:lineRule="exact"/>
        <w:rPr>
          <w:sz w:val="20"/>
          <w:szCs w:val="20"/>
          <w:color w:val="auto"/>
        </w:rPr>
      </w:pPr>
    </w:p>
    <w:p>
      <w:pPr>
        <w:sectPr>
          <w:pgSz w:w="11900" w:h="16838" w:orient="portrait"/>
          <w:cols w:equalWidth="0" w:num="2">
            <w:col w:w="880" w:space="720"/>
            <w:col w:w="9600"/>
          </w:cols>
          <w:pgMar w:left="320" w:top="319" w:right="379" w:bottom="1440" w:gutter="0" w:footer="0" w:header="0"/>
          <w:type w:val="continuous"/>
        </w:sectPr>
      </w:pPr>
    </w:p>
    <w:p>
      <w:pPr>
        <w:ind w:left="2260"/>
        <w:spacing w:after="0" w:line="252" w:lineRule="auto"/>
        <w:rPr>
          <w:sz w:val="20"/>
          <w:szCs w:val="20"/>
          <w:color w:val="auto"/>
        </w:rPr>
      </w:pPr>
      <w:r>
        <w:rPr>
          <w:rFonts w:ascii="Arial" w:cs="Arial" w:eastAsia="Arial" w:hAnsi="Arial"/>
          <w:sz w:val="18"/>
          <w:szCs w:val="18"/>
          <w:color w:val="auto"/>
        </w:rPr>
        <w:t>your annual Bonus is based on Company performance and personal performance consistent with the Company’s practices with respect to similarly-situated executives and approved by the Compensation Committee of the Board of Directors of the Company in its sole discretion. Starting on the Effective Date, your target annual Bonus will be 50% of your base salary, with the ability to overachieve. The Bonus (if any) shall be paid on the date on which the Company pays out bonuses to senior executives generally; provided, however, that you remain employed by the Company as of such date (except as otherwise provided herein); and provided, further, that in no event shall the Bonus be paid later than March 15th of the subsequent year.</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0072CE"/>
        </w:rPr>
        <w:t>IMAX Corporation | 2525 Speakman Drive, Mississauga, Ontario, L5K 1B1,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color w:val="auto"/>
        </w:rPr>
        <w:t>Car Allowance:</w:t>
      </w:r>
    </w:p>
    <w:p>
      <w:pPr>
        <w:spacing w:after="0" w:line="20" w:lineRule="exact"/>
        <w:rPr>
          <w:sz w:val="20"/>
          <w:szCs w:val="20"/>
          <w:color w:val="auto"/>
        </w:rPr>
      </w:pPr>
      <w:r>
        <w:rPr>
          <w:sz w:val="20"/>
          <w:szCs w:val="20"/>
          <w:color w:val="auto"/>
        </w:rPr>
        <w:br w:type="column"/>
      </w:r>
    </w:p>
    <w:p>
      <w:pPr>
        <w:ind w:hanging="446"/>
        <w:spacing w:after="0" w:line="237" w:lineRule="auto"/>
        <w:rPr>
          <w:sz w:val="20"/>
          <w:szCs w:val="20"/>
          <w:color w:val="auto"/>
        </w:rPr>
      </w:pPr>
      <w:r>
        <w:rPr>
          <w:rFonts w:ascii="Arial" w:cs="Arial" w:eastAsia="Arial" w:hAnsi="Arial"/>
          <w:sz w:val="20"/>
          <w:szCs w:val="20"/>
          <w:color w:val="auto"/>
        </w:rPr>
        <w:t>You will receive $13,200.00 CAD annually, paid with your regular pay on a semi-monthly basis as taxable income. Additionally, you may expense and be reimbursed for reasonable car-related expenses like gas, maintenance, and insurance costs up to an additional annual maximum of $11,800.00 CAD.</w:t>
      </w:r>
    </w:p>
    <w:p>
      <w:pPr>
        <w:spacing w:after="0" w:line="169" w:lineRule="exact"/>
        <w:rPr>
          <w:sz w:val="20"/>
          <w:szCs w:val="20"/>
          <w:color w:val="auto"/>
        </w:rPr>
      </w:pPr>
    </w:p>
    <w:p>
      <w:pPr>
        <w:sectPr>
          <w:pgSz w:w="11900" w:h="16838" w:orient="portrait"/>
          <w:cols w:equalWidth="0" w:num="2">
            <w:col w:w="1540" w:space="720"/>
            <w:col w:w="8940"/>
          </w:cols>
          <w:pgMar w:left="320" w:top="325" w:right="379" w:bottom="1440" w:gutter="0" w:footer="0" w:header="0"/>
        </w:sectPr>
      </w:pPr>
    </w:p>
    <w:p>
      <w:pPr>
        <w:spacing w:after="0"/>
        <w:rPr>
          <w:sz w:val="20"/>
          <w:szCs w:val="20"/>
          <w:color w:val="auto"/>
        </w:rPr>
      </w:pPr>
      <w:r>
        <w:rPr>
          <w:rFonts w:ascii="Arial" w:cs="Arial" w:eastAsia="Arial" w:hAnsi="Arial"/>
          <w:sz w:val="16"/>
          <w:szCs w:val="16"/>
          <w:color w:val="auto"/>
        </w:rPr>
        <w:t>Vacation and</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Benefits: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Your vacation entitlement and benefits remain unchanged,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including entitlement to the Personal Spending (Wellness) Allowance reimbursement of up to $2,500 CAD per year,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which is a taxable benefit.</w:t>
      </w:r>
    </w:p>
    <w:p>
      <w:pPr>
        <w:spacing w:after="0" w:line="167" w:lineRule="exact"/>
        <w:rPr>
          <w:sz w:val="20"/>
          <w:szCs w:val="20"/>
          <w:color w:val="auto"/>
        </w:rPr>
      </w:pPr>
    </w:p>
    <w:p>
      <w:pPr>
        <w:sectPr>
          <w:pgSz w:w="11900" w:h="16838" w:orient="portrait"/>
          <w:cols w:equalWidth="0" w:num="2">
            <w:col w:w="1040" w:space="500"/>
            <w:col w:w="9660"/>
          </w:cols>
          <w:pgMar w:left="320" w:top="325" w:right="379" w:bottom="1440" w:gutter="0" w:footer="0" w:header="0"/>
          <w:type w:val="continuous"/>
        </w:sectPr>
      </w:pPr>
    </w:p>
    <w:p>
      <w:pPr>
        <w:spacing w:after="0"/>
        <w:rPr>
          <w:sz w:val="20"/>
          <w:szCs w:val="20"/>
          <w:color w:val="auto"/>
        </w:rPr>
      </w:pPr>
      <w:r>
        <w:rPr>
          <w:rFonts w:ascii="Arial" w:cs="Arial" w:eastAsia="Arial" w:hAnsi="Arial"/>
          <w:sz w:val="18"/>
          <w:szCs w:val="18"/>
          <w:color w:val="auto"/>
        </w:rPr>
        <w:t>LTIP:</w:t>
      </w:r>
    </w:p>
    <w:p>
      <w:pPr>
        <w:spacing w:after="0" w:line="20" w:lineRule="exact"/>
        <w:rPr>
          <w:sz w:val="20"/>
          <w:szCs w:val="20"/>
          <w:color w:val="auto"/>
        </w:rPr>
      </w:pPr>
      <w:r>
        <w:rPr>
          <w:sz w:val="20"/>
          <w:szCs w:val="20"/>
          <w:color w:val="auto"/>
        </w:rPr>
        <w:br w:type="column"/>
      </w:r>
    </w:p>
    <w:p>
      <w:pPr>
        <w:ind w:right="60" w:hanging="355"/>
        <w:spacing w:after="0" w:line="241" w:lineRule="auto"/>
        <w:rPr>
          <w:sz w:val="20"/>
          <w:szCs w:val="20"/>
          <w:color w:val="auto"/>
        </w:rPr>
      </w:pPr>
      <w:r>
        <w:rPr>
          <w:rFonts w:ascii="Arial" w:cs="Arial" w:eastAsia="Arial" w:hAnsi="Arial"/>
          <w:sz w:val="18"/>
          <w:szCs w:val="18"/>
          <w:color w:val="auto"/>
        </w:rPr>
        <w:t xml:space="preserve">You will continue to be eligible to participate in the Company’s Second Amended and Restated Long-Term Incentive Plan (as amended from time to time, the </w:t>
      </w:r>
      <w:r>
        <w:rPr>
          <w:rFonts w:ascii="Arial" w:cs="Arial" w:eastAsia="Arial" w:hAnsi="Arial"/>
          <w:sz w:val="18"/>
          <w:szCs w:val="18"/>
          <w:b w:val="1"/>
          <w:bCs w:val="1"/>
          <w:i w:val="1"/>
          <w:iCs w:val="1"/>
          <w:color w:val="auto"/>
        </w:rPr>
        <w:t>“LTIP”</w:t>
      </w:r>
      <w:r>
        <w:rPr>
          <w:rFonts w:ascii="Arial" w:cs="Arial" w:eastAsia="Arial" w:hAnsi="Arial"/>
          <w:sz w:val="18"/>
          <w:szCs w:val="18"/>
          <w:color w:val="auto"/>
        </w:rPr>
        <w:t xml:space="preserve">). Grants are made on a discretionary basis annually. Starting with the 2022 performance cycle, you will receive a grant on an annual basis (the </w:t>
      </w:r>
      <w:r>
        <w:rPr>
          <w:rFonts w:ascii="Arial" w:cs="Arial" w:eastAsia="Arial" w:hAnsi="Arial"/>
          <w:sz w:val="18"/>
          <w:szCs w:val="18"/>
          <w:b w:val="1"/>
          <w:bCs w:val="1"/>
          <w:i w:val="1"/>
          <w:iCs w:val="1"/>
          <w:color w:val="auto"/>
        </w:rPr>
        <w:t>“Annual Grant”</w:t>
      </w:r>
      <w:r>
        <w:rPr>
          <w:rFonts w:ascii="Arial" w:cs="Arial" w:eastAsia="Arial" w:hAnsi="Arial"/>
          <w:sz w:val="18"/>
          <w:szCs w:val="18"/>
          <w:color w:val="auto"/>
        </w:rPr>
        <w:t>) that will be a minimum award of $600,000 USD with the opportunity to overachieve. The vehicles, mix of PSUs, RSUs, and/or other equity vehicles, grant timing and vesting schedules for any Annual Grant will be consistent with the Company’s standard process and grants given to other Named Executive Officers at the time. The Executive must be employed by the Company on the grant date in order to receive an Annual Grant.</w:t>
      </w:r>
    </w:p>
    <w:p>
      <w:pPr>
        <w:spacing w:after="0" w:line="171" w:lineRule="exact"/>
        <w:rPr>
          <w:sz w:val="20"/>
          <w:szCs w:val="20"/>
          <w:color w:val="auto"/>
        </w:rPr>
      </w:pPr>
    </w:p>
    <w:p>
      <w:pPr>
        <w:sectPr>
          <w:pgSz w:w="11900" w:h="16838" w:orient="portrait"/>
          <w:cols w:equalWidth="0" w:num="2">
            <w:col w:w="1540" w:space="720"/>
            <w:col w:w="8940"/>
          </w:cols>
          <w:pgMar w:left="320" w:top="325" w:right="379" w:bottom="1440" w:gutter="0" w:footer="0" w:header="0"/>
          <w:type w:val="continuous"/>
        </w:sectPr>
      </w:pPr>
    </w:p>
    <w:p>
      <w:pPr>
        <w:spacing w:after="0"/>
        <w:rPr>
          <w:sz w:val="20"/>
          <w:szCs w:val="20"/>
          <w:color w:val="auto"/>
        </w:rPr>
      </w:pPr>
      <w:r>
        <w:rPr>
          <w:rFonts w:ascii="Arial" w:cs="Arial" w:eastAsia="Arial" w:hAnsi="Arial"/>
          <w:sz w:val="18"/>
          <w:szCs w:val="18"/>
          <w:color w:val="auto"/>
        </w:rPr>
        <w:t>Termination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Generally: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80" w:hanging="267"/>
        <w:spacing w:after="0" w:line="246" w:lineRule="auto"/>
        <w:rPr>
          <w:sz w:val="20"/>
          <w:szCs w:val="20"/>
          <w:color w:val="auto"/>
        </w:rPr>
      </w:pPr>
      <w:r>
        <w:rPr>
          <w:rFonts w:ascii="Arial" w:cs="Arial" w:eastAsia="Arial" w:hAnsi="Arial"/>
          <w:sz w:val="20"/>
          <w:szCs w:val="20"/>
          <w:color w:val="auto"/>
        </w:rPr>
        <w:t>You understand and acknowledge that the Company is entitled to terminate your employment at any time with or without cause.</w:t>
      </w:r>
    </w:p>
    <w:p>
      <w:pPr>
        <w:spacing w:after="0" w:line="177" w:lineRule="exact"/>
        <w:rPr>
          <w:sz w:val="20"/>
          <w:szCs w:val="20"/>
          <w:color w:val="auto"/>
        </w:rPr>
      </w:pPr>
    </w:p>
    <w:p>
      <w:pPr>
        <w:sectPr>
          <w:pgSz w:w="11900" w:h="16838" w:orient="portrait"/>
          <w:cols w:equalWidth="0" w:num="2">
            <w:col w:w="1540" w:space="720"/>
            <w:col w:w="8940"/>
          </w:cols>
          <w:pgMar w:left="320" w:top="325" w:right="379" w:bottom="1440" w:gutter="0" w:footer="0" w:header="0"/>
          <w:type w:val="continuous"/>
        </w:sectPr>
      </w:pPr>
    </w:p>
    <w:p>
      <w:pPr>
        <w:spacing w:after="0" w:line="246" w:lineRule="auto"/>
        <w:rPr>
          <w:sz w:val="20"/>
          <w:szCs w:val="20"/>
          <w:color w:val="auto"/>
        </w:rPr>
      </w:pPr>
      <w:r>
        <w:rPr>
          <w:rFonts w:ascii="Arial" w:cs="Arial" w:eastAsia="Arial" w:hAnsi="Arial"/>
          <w:sz w:val="20"/>
          <w:szCs w:val="20"/>
          <w:color w:val="auto"/>
        </w:rPr>
        <w:t>Termination With Cause: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terminate your employment for cause without notice and without severance pay.</w:t>
      </w:r>
    </w:p>
    <w:p>
      <w:pPr>
        <w:spacing w:after="0" w:line="238" w:lineRule="exact"/>
        <w:rPr>
          <w:sz w:val="20"/>
          <w:szCs w:val="20"/>
          <w:color w:val="auto"/>
        </w:rPr>
      </w:pPr>
    </w:p>
    <w:p>
      <w:pPr>
        <w:sectPr>
          <w:pgSz w:w="11900" w:h="16838" w:orient="portrait"/>
          <w:cols w:equalWidth="0" w:num="2">
            <w:col w:w="1400" w:space="200"/>
            <w:col w:w="9600"/>
          </w:cols>
          <w:pgMar w:left="320" w:top="325" w:right="379" w:bottom="1440" w:gutter="0" w:footer="0" w:header="0"/>
          <w:type w:val="continuous"/>
        </w:sectPr>
      </w:pPr>
    </w:p>
    <w:p>
      <w:pPr>
        <w:spacing w:after="0"/>
        <w:rPr>
          <w:sz w:val="20"/>
          <w:szCs w:val="20"/>
          <w:color w:val="auto"/>
        </w:rPr>
      </w:pPr>
      <w:r>
        <w:rPr>
          <w:rFonts w:ascii="Arial" w:cs="Arial" w:eastAsia="Arial" w:hAnsi="Arial"/>
          <w:sz w:val="12"/>
          <w:szCs w:val="12"/>
          <w:b w:val="1"/>
          <w:bCs w:val="1"/>
          <w:color w:val="0072CE"/>
        </w:rPr>
        <w:t>IMAX Corporation | 2525 Speakman Drive, Mississauga, Ontario, L5K 1B1,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color w:val="auto"/>
        </w:rPr>
        <w:t>Termination</w:t>
      </w:r>
    </w:p>
    <w:p>
      <w:pPr>
        <w:spacing w:after="0" w:line="2" w:lineRule="exact"/>
        <w:rPr>
          <w:sz w:val="20"/>
          <w:szCs w:val="20"/>
          <w:color w:val="auto"/>
        </w:rPr>
      </w:pPr>
    </w:p>
    <w:p>
      <w:pPr>
        <w:ind w:left="1600" w:hanging="2245"/>
        <w:spacing w:after="0" w:line="239" w:lineRule="auto"/>
        <w:tabs>
          <w:tab w:leader="none" w:pos="1580" w:val="left"/>
        </w:tabs>
        <w:rPr>
          <w:sz w:val="20"/>
          <w:szCs w:val="20"/>
          <w:color w:val="auto"/>
        </w:rPr>
      </w:pPr>
      <w:r>
        <w:rPr>
          <w:rFonts w:ascii="Arial" w:cs="Arial" w:eastAsia="Arial" w:hAnsi="Arial"/>
          <w:sz w:val="20"/>
          <w:szCs w:val="20"/>
          <w:color w:val="auto"/>
        </w:rPr>
        <w:t>Without Cause:</w:t>
      </w:r>
      <w:r>
        <w:rPr>
          <w:sz w:val="20"/>
          <w:szCs w:val="20"/>
          <w:color w:val="auto"/>
        </w:rPr>
        <w:tab/>
      </w:r>
      <w:r>
        <w:rPr>
          <w:rFonts w:ascii="Arial" w:cs="Arial" w:eastAsia="Arial" w:hAnsi="Arial"/>
          <w:sz w:val="19"/>
          <w:szCs w:val="19"/>
          <w:color w:val="auto"/>
        </w:rPr>
        <w:t xml:space="preserve">The Company may terminate your employment without cause by providing you with pay in lieu of notice as follows. You will receive accrued but unpaid base salary, car allowance and benefits through the date of termination, reimbursement for properly incurred and unpaid business expenses, pay for accrued and unused vacation as of the termination date and your target Bonus (adjusted pro rata through the termination date) for the year in which you were terminated (collectively, the </w:t>
      </w:r>
      <w:r>
        <w:rPr>
          <w:rFonts w:ascii="Arial" w:cs="Arial" w:eastAsia="Arial" w:hAnsi="Arial"/>
          <w:sz w:val="19"/>
          <w:szCs w:val="19"/>
          <w:b w:val="1"/>
          <w:bCs w:val="1"/>
          <w:i w:val="1"/>
          <w:iCs w:val="1"/>
          <w:color w:val="auto"/>
        </w:rPr>
        <w:t>“Other Accrued Compensation and Benefits”</w:t>
      </w:r>
      <w:r>
        <w:rPr>
          <w:rFonts w:ascii="Arial" w:cs="Arial" w:eastAsia="Arial" w:hAnsi="Arial"/>
          <w:sz w:val="19"/>
          <w:szCs w:val="19"/>
          <w:color w:val="auto"/>
        </w:rPr>
        <w:t xml:space="preserve">). You will also receive pay in lieu of notice for a period equal to one month per year of service with the Company (prorated for partial years), up to a maximum of twenty-four (24) months (the </w:t>
      </w:r>
      <w:r>
        <w:rPr>
          <w:rFonts w:ascii="Arial" w:cs="Arial" w:eastAsia="Arial" w:hAnsi="Arial"/>
          <w:sz w:val="19"/>
          <w:szCs w:val="19"/>
          <w:b w:val="1"/>
          <w:bCs w:val="1"/>
          <w:i w:val="1"/>
          <w:iCs w:val="1"/>
          <w:color w:val="auto"/>
        </w:rPr>
        <w:t>“Severance Period”</w:t>
      </w:r>
      <w:r>
        <w:rPr>
          <w:rFonts w:ascii="Arial" w:cs="Arial" w:eastAsia="Arial" w:hAnsi="Arial"/>
          <w:sz w:val="19"/>
          <w:szCs w:val="19"/>
          <w:color w:val="auto"/>
        </w:rPr>
        <w:t>) of your then current base salary, target Bonus and car allowance. You will not receive any equity grants during the Severance Period. In addition to such payment, you will continue to be provided with benefits or, at the Company’s option, pay in lieu of benefits for the duration of the Severance Period. The payments provided for in this provision shall be paid in a lump sum within sixty (60) days following your termination date.</w:t>
      </w:r>
    </w:p>
    <w:p>
      <w:pPr>
        <w:spacing w:after="0" w:line="169" w:lineRule="exact"/>
        <w:rPr>
          <w:sz w:val="20"/>
          <w:szCs w:val="20"/>
          <w:color w:val="auto"/>
        </w:rPr>
      </w:pPr>
    </w:p>
    <w:p>
      <w:pPr>
        <w:ind w:left="2260" w:right="20" w:hanging="267"/>
        <w:spacing w:after="0" w:line="286" w:lineRule="auto"/>
        <w:rPr>
          <w:sz w:val="20"/>
          <w:szCs w:val="20"/>
          <w:color w:val="auto"/>
        </w:rPr>
      </w:pPr>
      <w:r>
        <w:rPr>
          <w:rFonts w:ascii="Arial" w:cs="Arial" w:eastAsia="Arial" w:hAnsi="Arial"/>
          <w:sz w:val="16"/>
          <w:szCs w:val="16"/>
          <w:color w:val="auto"/>
        </w:rPr>
        <w:t>Following a termination without cause, all outstanding equity will be treated in accordance with the terms of the LTIP or the applicable award letters; provided, however, that (a) granted Options, PSUs and RSUs shall continue to vest on schedule during the Severance Period (in the case of PSUs, subject to the achievement of the applicable performance conditions), and (b) all vested Options shall remain exercisable until the first to occur of</w:t>
      </w:r>
    </w:p>
    <w:p>
      <w:pPr>
        <w:spacing w:after="0" w:line="3" w:lineRule="exact"/>
        <w:rPr>
          <w:sz w:val="20"/>
          <w:szCs w:val="20"/>
          <w:color w:val="auto"/>
        </w:rPr>
      </w:pPr>
    </w:p>
    <w:p>
      <w:pPr>
        <w:ind w:left="2260" w:right="40" w:hanging="6"/>
        <w:spacing w:after="0" w:line="234" w:lineRule="auto"/>
        <w:tabs>
          <w:tab w:leader="none" w:pos="2496"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passage of six (6) months beyond the end of the Severance Period, and (ii) the expiration of the remaining term of the vested Options.</w:t>
      </w:r>
    </w:p>
    <w:p>
      <w:pPr>
        <w:spacing w:after="0" w:line="184" w:lineRule="exact"/>
        <w:rPr>
          <w:sz w:val="20"/>
          <w:szCs w:val="20"/>
          <w:color w:val="auto"/>
        </w:rPr>
      </w:pPr>
    </w:p>
    <w:p>
      <w:pPr>
        <w:jc w:val="both"/>
        <w:ind w:left="2260" w:right="260" w:hanging="267"/>
        <w:spacing w:after="0" w:line="237" w:lineRule="auto"/>
        <w:rPr>
          <w:sz w:val="20"/>
          <w:szCs w:val="20"/>
          <w:color w:val="auto"/>
        </w:rPr>
      </w:pPr>
      <w:r>
        <w:rPr>
          <w:rFonts w:ascii="Arial" w:cs="Arial" w:eastAsia="Arial" w:hAnsi="Arial"/>
          <w:sz w:val="20"/>
          <w:szCs w:val="20"/>
          <w:color w:val="auto"/>
        </w:rPr>
        <w:t>The compensation set forth in this provision will be inclusive of all entitlements to notice or pay in lieu of notice, termination pay and/or severance pay pursuant to the Employment Standards Act, 2000 (Ontario) or any other applicable contract, statute, common law or other legal entitlement.</w:t>
      </w: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b w:val="1"/>
          <w:bCs w:val="1"/>
          <w:color w:val="0072CE"/>
        </w:rPr>
        <w:t>IMAX Corporation | 2525 Speakman Drive, Mississauga, Ontario, L5K 1B1,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8" w:right="359" w:bottom="1440" w:gutter="0" w:footer="0" w:header="0"/>
        </w:sectPr>
      </w:pPr>
    </w:p>
    <w:bookmarkStart w:id="89" w:name="page90"/>
    <w:bookmarkEnd w:id="89"/>
    <w:p>
      <w:pPr>
        <w:ind w:left="2260" w:right="120"/>
        <w:spacing w:after="0" w:line="231" w:lineRule="auto"/>
        <w:rPr>
          <w:sz w:val="20"/>
          <w:szCs w:val="20"/>
          <w:color w:val="auto"/>
        </w:rPr>
      </w:pPr>
      <w:r>
        <w:rPr>
          <w:rFonts w:ascii="Arial" w:cs="Arial" w:eastAsia="Arial" w:hAnsi="Arial"/>
          <w:sz w:val="20"/>
          <w:szCs w:val="20"/>
          <w:color w:val="auto"/>
        </w:rPr>
        <w:t>Notwithstanding anything to the contrary herein, upon your termination without cause, the Company may, at its option, require you to work for up to six (6) months of the Severance Period immediately following your notice of termination to assist in transitioning your duties. If the Company elects this option, it will provide you with written notice of such election at the time you are notified of your termination. In such case, the end of the working transition period will constitute your termination date and the Severance Period will be reduced by the duration of such transition period.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Termination Due</w:t>
      </w:r>
    </w:p>
    <w:p>
      <w:pPr>
        <w:spacing w:after="0" w:line="227" w:lineRule="auto"/>
        <w:rPr>
          <w:sz w:val="20"/>
          <w:szCs w:val="20"/>
          <w:color w:val="auto"/>
        </w:rPr>
      </w:pPr>
      <w:r>
        <w:rPr>
          <w:rFonts w:ascii="Arial" w:cs="Arial" w:eastAsia="Arial" w:hAnsi="Arial"/>
          <w:sz w:val="20"/>
          <w:szCs w:val="20"/>
          <w:color w:val="auto"/>
        </w:rPr>
        <w:t>To Death or</w:t>
      </w:r>
    </w:p>
    <w:p>
      <w:pPr>
        <w:spacing w:after="0" w:line="1" w:lineRule="exact"/>
        <w:rPr>
          <w:sz w:val="20"/>
          <w:szCs w:val="20"/>
          <w:color w:val="auto"/>
        </w:rPr>
      </w:pPr>
    </w:p>
    <w:p>
      <w:pPr>
        <w:ind w:left="1980" w:hanging="2245"/>
        <w:spacing w:after="0" w:line="238" w:lineRule="auto"/>
        <w:tabs>
          <w:tab w:leader="none" w:pos="1960" w:val="left"/>
        </w:tabs>
        <w:rPr>
          <w:sz w:val="20"/>
          <w:szCs w:val="20"/>
          <w:color w:val="auto"/>
        </w:rPr>
      </w:pPr>
      <w:r>
        <w:rPr>
          <w:rFonts w:ascii="Arial" w:cs="Arial" w:eastAsia="Arial" w:hAnsi="Arial"/>
          <w:sz w:val="20"/>
          <w:szCs w:val="20"/>
          <w:color w:val="auto"/>
        </w:rPr>
        <w:t>Disability:</w:t>
      </w:r>
      <w:r>
        <w:rPr>
          <w:sz w:val="20"/>
          <w:szCs w:val="20"/>
          <w:color w:val="auto"/>
        </w:rPr>
        <w:tab/>
      </w:r>
      <w:r>
        <w:rPr>
          <w:rFonts w:ascii="Arial" w:cs="Arial" w:eastAsia="Arial" w:hAnsi="Arial"/>
          <w:sz w:val="19"/>
          <w:szCs w:val="19"/>
          <w:color w:val="auto"/>
        </w:rPr>
        <w:t>In the event that your employment terminates as a result of your death or disability, the Company will pay to you (or to your estate, if applicable) the Other Accrued Compensation and Benefits, as well as any Bonus earned, but unpaid, for the year prior to the year of termination. Furthermore, upon a termination of employment as a result of your death or Disability, a portion of your Options, PSUs, and RSUs that have already been granted pursuant to this Agreement shall vest such that, when combined with previously vested Options, PSUs, and RSUs granted under this Agreement, an aggregate of 50% of all of the Options, PSUs, and RSUs that have been granted pursuant to this Agreement shall have vested (in the case of PSUs, subject to the achievement of the applicable performance conditions). Any vested Options shall continue to be exercisable for a period of 180 days following the date of the Executive’s death or Disability (but in no event later than the expiration of the term of such Options). All Options not exercised within such 180-day period shall be cancelled and shall revert back to the Company for no consideration and you or your estate, as applicable, shall have no further right or interest therein.</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0072CE"/>
        </w:rPr>
        <w:t>IMAX Corporation | 2525 Speakman Drive, Mississauga, Ontario, L5K 1B1,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44" w:right="37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Resignation for</w:t>
      </w:r>
    </w:p>
    <w:p>
      <w:pPr>
        <w:spacing w:after="0" w:line="2" w:lineRule="exact"/>
        <w:rPr>
          <w:sz w:val="20"/>
          <w:szCs w:val="20"/>
          <w:color w:val="auto"/>
        </w:rPr>
      </w:pPr>
    </w:p>
    <w:p>
      <w:pPr>
        <w:ind w:left="1980" w:hanging="2245"/>
        <w:spacing w:after="0" w:line="250" w:lineRule="auto"/>
        <w:tabs>
          <w:tab w:leader="none" w:pos="1960" w:val="left"/>
        </w:tabs>
        <w:rPr>
          <w:sz w:val="20"/>
          <w:szCs w:val="20"/>
          <w:color w:val="auto"/>
        </w:rPr>
      </w:pPr>
      <w:r>
        <w:rPr>
          <w:rFonts w:ascii="Arial" w:cs="Arial" w:eastAsia="Arial" w:hAnsi="Arial"/>
          <w:sz w:val="20"/>
          <w:szCs w:val="20"/>
          <w:color w:val="auto"/>
        </w:rPr>
        <w:t>Good Reason:</w:t>
      </w:r>
      <w:r>
        <w:rPr>
          <w:sz w:val="20"/>
          <w:szCs w:val="20"/>
          <w:color w:val="auto"/>
        </w:rPr>
        <w:tab/>
      </w:r>
      <w:r>
        <w:rPr>
          <w:rFonts w:ascii="Arial" w:cs="Arial" w:eastAsia="Arial" w:hAnsi="Arial"/>
          <w:sz w:val="18"/>
          <w:szCs w:val="18"/>
          <w:color w:val="auto"/>
        </w:rPr>
        <w:t>If at any time you resign from employment for Good Reason (as defined below), you will be entitled to the same severance payments and benefits as if you had been terminated without cause in accordance with the provisions above. For the sake of clarity, the Company may, at its option, require you to work for up to six (6) months of the Severance Period immediately following your resignation for Good Reason to assist in transitioning your duties, as is the case following a termination without cause. 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your resignation as a result of (i) following a Change in Control (as defined below), you ceasing to report to the CEO; (ii) a material reduction in your responsibilities or compensation; or (iii) the Company requiring you to be based at any office or location more than thirty (30) miles from Toronto or Mississauga, Ontario; provided, however, that no such event shall constitute Good Reason unless (A) you first give the Company written notice of your intention to resign your employment for Good Reason and the grounds for such resignation, (B) such grounds for resignation (if susceptible to correction) are not corrected by the Company within sixty (60) days of its receipt of such notice, and (C) you actually resign your employment with the Company within thirty (30) days following the expiration of the sixty (60) day cure period.</w:t>
      </w:r>
    </w:p>
    <w:p>
      <w:pPr>
        <w:spacing w:after="0" w:line="230" w:lineRule="auto"/>
        <w:rPr>
          <w:sz w:val="20"/>
          <w:szCs w:val="20"/>
          <w:color w:val="auto"/>
        </w:rPr>
      </w:pPr>
      <w:r>
        <w:rPr>
          <w:rFonts w:ascii="Arial" w:cs="Arial" w:eastAsia="Arial" w:hAnsi="Arial"/>
          <w:sz w:val="20"/>
          <w:szCs w:val="20"/>
          <w:color w:val="auto"/>
        </w:rPr>
        <w:t>Termination</w:t>
      </w:r>
    </w:p>
    <w:p>
      <w:pPr>
        <w:spacing w:after="0" w:line="226" w:lineRule="auto"/>
        <w:rPr>
          <w:sz w:val="20"/>
          <w:szCs w:val="20"/>
          <w:color w:val="auto"/>
        </w:rPr>
      </w:pPr>
      <w:r>
        <w:rPr>
          <w:rFonts w:ascii="Arial" w:cs="Arial" w:eastAsia="Arial" w:hAnsi="Arial"/>
          <w:sz w:val="20"/>
          <w:szCs w:val="20"/>
          <w:color w:val="auto"/>
        </w:rPr>
        <w:t>Following Change</w:t>
      </w:r>
    </w:p>
    <w:p>
      <w:pPr>
        <w:ind w:left="1980" w:right="60" w:hanging="2245"/>
        <w:spacing w:after="0" w:line="227" w:lineRule="auto"/>
        <w:tabs>
          <w:tab w:leader="none" w:pos="1960" w:val="left"/>
        </w:tabs>
        <w:rPr>
          <w:sz w:val="20"/>
          <w:szCs w:val="20"/>
          <w:color w:val="auto"/>
        </w:rPr>
      </w:pPr>
      <w:r>
        <w:rPr>
          <w:rFonts w:ascii="Arial" w:cs="Arial" w:eastAsia="Arial" w:hAnsi="Arial"/>
          <w:sz w:val="20"/>
          <w:szCs w:val="20"/>
          <w:color w:val="auto"/>
        </w:rPr>
        <w:t>In Control:</w:t>
      </w:r>
      <w:r>
        <w:rPr>
          <w:sz w:val="20"/>
          <w:szCs w:val="20"/>
          <w:color w:val="auto"/>
        </w:rPr>
        <w:tab/>
      </w:r>
      <w:r>
        <w:rPr>
          <w:rFonts w:ascii="Arial" w:cs="Arial" w:eastAsia="Arial" w:hAnsi="Arial"/>
          <w:sz w:val="20"/>
          <w:szCs w:val="20"/>
          <w:color w:val="auto"/>
        </w:rPr>
        <w:t xml:space="preserve">In the event of both (i) a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of the Company (i.e., any person, or group of persons acting in concert, other than Richard L. Gelfond or Bradley J. Wechsler, acquiring greater than fifty (50%) percent of the outstanding common shares of IMAX, whether by direct or indirect acquisition or as a result of a merger or reorganization), and (ii) your termination from the Company without cause within 24 months following the Change in Control, you will be entitled to the same severance payments and benefits as if you had been terminated without cause in accordance with the provisions above. Your granted and outstanding equity following a Change in Control and subsequent termination without cause within 24 months will be treated as follows:</w:t>
      </w:r>
    </w:p>
    <w:p>
      <w:pPr>
        <w:spacing w:after="0" w:line="1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Your granted and outstanding Options and RSUs shall accelerate and vest immediately.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0072CE"/>
        </w:rPr>
        <w:t>IMAX Corporation | 2525 Speakman Drive, Mississauga, Ontario, L5K 1B1,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30" w:right="439" w:bottom="1440" w:gutter="0" w:footer="0" w:header="0"/>
        </w:sectPr>
      </w:pPr>
    </w:p>
    <w:bookmarkStart w:id="91" w:name="page92"/>
    <w:bookmarkEnd w:id="91"/>
    <w:p>
      <w:pPr>
        <w:jc w:val="center"/>
        <w:ind w:left="1660"/>
        <w:spacing w:after="0"/>
        <w:rPr>
          <w:sz w:val="20"/>
          <w:szCs w:val="20"/>
          <w:color w:val="auto"/>
        </w:rPr>
      </w:pPr>
      <w:r>
        <w:rPr>
          <w:rFonts w:ascii="Arial" w:cs="Arial" w:eastAsia="Arial" w:hAnsi="Arial"/>
          <w:sz w:val="18"/>
          <w:szCs w:val="18"/>
          <w:color w:val="auto"/>
        </w:rPr>
        <w:t>With respect to your granted and outstanding PSUs, any requirement for continued service through the end of the</w:t>
      </w:r>
    </w:p>
    <w:p>
      <w:pPr>
        <w:spacing w:after="0" w:line="25" w:lineRule="exact"/>
        <w:rPr>
          <w:sz w:val="20"/>
          <w:szCs w:val="20"/>
          <w:color w:val="auto"/>
        </w:rPr>
      </w:pPr>
    </w:p>
    <w:p>
      <w:pPr>
        <w:ind w:left="2260"/>
        <w:spacing w:after="0" w:line="253" w:lineRule="auto"/>
        <w:rPr>
          <w:sz w:val="20"/>
          <w:szCs w:val="20"/>
          <w:color w:val="auto"/>
        </w:rPr>
      </w:pPr>
      <w:r>
        <w:rPr>
          <w:rFonts w:ascii="Arial" w:cs="Arial" w:eastAsia="Arial" w:hAnsi="Arial"/>
          <w:sz w:val="18"/>
          <w:szCs w:val="18"/>
          <w:color w:val="auto"/>
        </w:rPr>
        <w:t>applicable performance period shall be waived, and the number of your PSUs that may become vested and settled in accordance with the terms thereof at the end of the applicable performance period shall be measured by the greater of (x) the Company’s performance on the last trading day immediately preceding the date upon which the Change in Control is consummated, or (y) to the extent that the performance conditions remain applicable to the Company following the Change in Control, as determined in good faith by the Board, then the actual performance of the Company against those performance conditions as of the end of the applicable performance period will determine the number of PSUs that vest. To the extent that the performance conditions no longer apply to the Company following a Change in Control, then clause (x) shall determine the number of PSUs that may vest. Any unvested PSUs that do not vest in accordance with the foregoing shall be forfeited and canceled, and you shall have no further rights with respect thereto.</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All other terms of your employment will remain the same.</w:t>
      </w:r>
    </w:p>
    <w:p>
      <w:pPr>
        <w:spacing w:after="0" w:line="189" w:lineRule="exact"/>
        <w:rPr>
          <w:sz w:val="20"/>
          <w:szCs w:val="20"/>
          <w:color w:val="auto"/>
        </w:rPr>
      </w:pPr>
    </w:p>
    <w:p>
      <w:pPr>
        <w:ind w:right="540"/>
        <w:spacing w:after="0" w:line="246" w:lineRule="auto"/>
        <w:rPr>
          <w:sz w:val="20"/>
          <w:szCs w:val="20"/>
          <w:color w:val="auto"/>
        </w:rPr>
      </w:pPr>
      <w:r>
        <w:rPr>
          <w:rFonts w:ascii="Arial" w:cs="Arial" w:eastAsia="Arial" w:hAnsi="Arial"/>
          <w:sz w:val="20"/>
          <w:szCs w:val="20"/>
          <w:color w:val="auto"/>
        </w:rPr>
        <w:t>Please indicate your acknowledgement of receipt of this letter and your agreement with the terms and conditions herein by signing and returning it to me via email by April 25, 2022.</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 on your promotion, and I wish you continued success in your career at IMAX.</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 Jacki Bassani</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Jacki Bassani</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EVP &amp; Chief People Officer</w:t>
      </w:r>
    </w:p>
    <w:p>
      <w:pPr>
        <w:sectPr>
          <w:pgSz w:w="11900" w:h="16838" w:orient="portrait"/>
          <w:cols w:equalWidth="0" w:num="1">
            <w:col w:w="11200"/>
          </w:cols>
          <w:pgMar w:left="320" w:top="325" w:right="37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/s/ Natasha Fernandes</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April 25, 2022</w:t>
      </w:r>
    </w:p>
    <w:p>
      <w:pPr>
        <w:spacing w:after="0" w:line="43" w:lineRule="exact"/>
        <w:rPr>
          <w:sz w:val="20"/>
          <w:szCs w:val="20"/>
          <w:color w:val="auto"/>
        </w:rPr>
      </w:pPr>
    </w:p>
    <w:p>
      <w:pPr>
        <w:sectPr>
          <w:pgSz w:w="11900" w:h="16838" w:orient="portrait"/>
          <w:cols w:equalWidth="0" w:num="2">
            <w:col w:w="2460" w:space="720"/>
            <w:col w:w="8020"/>
          </w:cols>
          <w:pgMar w:left="320" w:top="325" w:right="37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_____________________________</w:t>
      </w:r>
    </w:p>
    <w:p>
      <w:pPr>
        <w:spacing w:after="0" w:line="5" w:lineRule="exact"/>
        <w:rPr>
          <w:sz w:val="20"/>
          <w:szCs w:val="20"/>
          <w:color w:val="auto"/>
        </w:rPr>
      </w:pPr>
    </w:p>
    <w:p>
      <w:pPr>
        <w:sectPr>
          <w:pgSz w:w="11900" w:h="16838" w:orient="portrait"/>
          <w:cols w:equalWidth="0" w:num="2">
            <w:col w:w="2860" w:space="720"/>
            <w:col w:w="7620"/>
          </w:cols>
          <w:pgMar w:left="320" w:top="325" w:right="379" w:bottom="1440" w:gutter="0" w:footer="0" w:header="0"/>
          <w:type w:val="continuous"/>
        </w:sectPr>
      </w:pPr>
    </w:p>
    <w:p>
      <w:pPr>
        <w:spacing w:after="0"/>
        <w:rPr>
          <w:sz w:val="20"/>
          <w:szCs w:val="20"/>
          <w:color w:val="auto"/>
        </w:rPr>
      </w:pPr>
      <w:r>
        <w:rPr>
          <w:rFonts w:ascii="Arial" w:cs="Arial" w:eastAsia="Arial" w:hAnsi="Arial"/>
          <w:sz w:val="16"/>
          <w:szCs w:val="16"/>
          <w:color w:val="auto"/>
        </w:rPr>
        <w:t>Natasha Fernandes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2" w:lineRule="exact"/>
        <w:rPr>
          <w:sz w:val="20"/>
          <w:szCs w:val="20"/>
          <w:color w:val="auto"/>
        </w:rPr>
      </w:pPr>
    </w:p>
    <w:p>
      <w:pPr>
        <w:sectPr>
          <w:pgSz w:w="11900" w:h="16838" w:orient="portrait"/>
          <w:cols w:equalWidth="0" w:num="2">
            <w:col w:w="2460" w:space="720"/>
            <w:col w:w="8020"/>
          </w:cols>
          <w:pgMar w:left="320" w:top="325" w:right="379" w:bottom="1440" w:gutter="0" w:footer="0" w:header="0"/>
          <w:type w:val="continuous"/>
        </w:sectPr>
      </w:pPr>
    </w:p>
    <w:p>
      <w:pPr>
        <w:spacing w:after="0"/>
        <w:rPr>
          <w:sz w:val="20"/>
          <w:szCs w:val="20"/>
          <w:color w:val="auto"/>
        </w:rPr>
      </w:pPr>
      <w:r>
        <w:rPr>
          <w:rFonts w:ascii="Arial" w:cs="Arial" w:eastAsia="Arial" w:hAnsi="Arial"/>
          <w:sz w:val="12"/>
          <w:szCs w:val="12"/>
          <w:b w:val="1"/>
          <w:bCs w:val="1"/>
          <w:color w:val="0072CE"/>
        </w:rPr>
        <w:t>IMAX Corporation | 2525 Speakman Drive, Mississauga, Ontario, L5K 1B1,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198" w:lineRule="exact"/>
        <w:rPr>
          <w:sz w:val="20"/>
          <w:szCs w:val="20"/>
          <w:color w:val="auto"/>
        </w:rPr>
      </w:pPr>
    </w:p>
    <w:p>
      <w:pPr>
        <w:ind w:left="440" w:hanging="371"/>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the registrant, IMAX Corporation;</w:t>
      </w:r>
    </w:p>
    <w:p>
      <w:pPr>
        <w:spacing w:after="0" w:line="198" w:lineRule="exact"/>
        <w:rPr>
          <w:rFonts w:ascii="Arial" w:cs="Arial" w:eastAsia="Arial" w:hAnsi="Arial"/>
          <w:sz w:val="18"/>
          <w:szCs w:val="18"/>
          <w:color w:val="auto"/>
        </w:rPr>
      </w:pPr>
    </w:p>
    <w:p>
      <w:pPr>
        <w:jc w:val="both"/>
        <w:ind w:left="440" w:hanging="371"/>
        <w:spacing w:after="0" w:line="248"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440" w:right="20" w:hanging="371"/>
        <w:spacing w:after="0" w:line="261"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jc w:val="both"/>
        <w:ind w:left="440" w:hanging="371"/>
        <w:spacing w:after="0" w:line="248"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200" w:hanging="382"/>
        <w:spacing w:after="0" w:line="248" w:lineRule="auto"/>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200" w:hanging="382"/>
        <w:spacing w:after="0" w:line="248" w:lineRule="auto"/>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1200" w:hanging="382"/>
        <w:spacing w:after="0" w:line="324" w:lineRule="auto"/>
        <w:tabs>
          <w:tab w:leader="none" w:pos="12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left="1200" w:hanging="382"/>
        <w:spacing w:after="0" w:line="248" w:lineRule="auto"/>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440" w:hanging="371"/>
        <w:spacing w:after="0" w:line="291" w:lineRule="auto"/>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200" w:right="20" w:hanging="382"/>
        <w:spacing w:after="0" w:line="291" w:lineRule="auto"/>
        <w:tabs>
          <w:tab w:leader="none" w:pos="12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1200" w:hanging="382"/>
        <w:spacing w:after="0" w:line="261" w:lineRule="auto"/>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ind w:left="2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28,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L. Gelfond</w:t>
            </w:r>
          </w:p>
        </w:tc>
      </w:tr>
      <w:tr>
        <w:trPr>
          <w:trHeight w:val="182"/>
        </w:trPr>
        <w:tc>
          <w:tcPr>
            <w:tcW w:w="7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40" w:type="dxa"/>
            <w:vAlign w:val="bottom"/>
          </w:tcPr>
          <w:p>
            <w:pPr>
              <w:ind w:left="2020"/>
              <w:spacing w:after="0" w:line="182"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82" w:lineRule="exact"/>
              <w:rPr>
                <w:sz w:val="20"/>
                <w:szCs w:val="20"/>
                <w:color w:val="auto"/>
              </w:rPr>
            </w:pPr>
            <w:r>
              <w:rPr>
                <w:rFonts w:ascii="Arial" w:cs="Arial" w:eastAsia="Arial" w:hAnsi="Arial"/>
                <w:sz w:val="18"/>
                <w:szCs w:val="18"/>
                <w:color w:val="auto"/>
              </w:rPr>
              <w:t>Richard L. Gelfond</w:t>
            </w:r>
          </w:p>
        </w:tc>
      </w:tr>
      <w:tr>
        <w:trPr>
          <w:trHeight w:val="230"/>
        </w:trPr>
        <w:tc>
          <w:tcPr>
            <w:tcW w:w="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06"/>
        </w:trPr>
        <w:tc>
          <w:tcPr>
            <w:tcW w:w="7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Natasha Fernandes, certify that:</w:t>
      </w:r>
    </w:p>
    <w:p>
      <w:pPr>
        <w:spacing w:after="0" w:line="198" w:lineRule="exact"/>
        <w:rPr>
          <w:sz w:val="20"/>
          <w:szCs w:val="20"/>
          <w:color w:val="auto"/>
        </w:rPr>
      </w:pPr>
    </w:p>
    <w:p>
      <w:pPr>
        <w:ind w:left="440" w:hanging="371"/>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the registrant, IMAX Corporation;</w:t>
      </w:r>
    </w:p>
    <w:p>
      <w:pPr>
        <w:spacing w:after="0" w:line="198" w:lineRule="exact"/>
        <w:rPr>
          <w:rFonts w:ascii="Arial" w:cs="Arial" w:eastAsia="Arial" w:hAnsi="Arial"/>
          <w:sz w:val="18"/>
          <w:szCs w:val="18"/>
          <w:color w:val="auto"/>
        </w:rPr>
      </w:pPr>
    </w:p>
    <w:p>
      <w:pPr>
        <w:jc w:val="both"/>
        <w:ind w:left="440" w:hanging="371"/>
        <w:spacing w:after="0" w:line="24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440" w:right="20" w:hanging="371"/>
        <w:spacing w:after="0" w:line="261"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jc w:val="both"/>
        <w:ind w:left="440" w:hanging="371"/>
        <w:spacing w:after="0" w:line="24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200" w:hanging="382"/>
        <w:spacing w:after="0" w:line="248"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200" w:hanging="382"/>
        <w:spacing w:after="0" w:line="248"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1200" w:hanging="382"/>
        <w:spacing w:after="0" w:line="324" w:lineRule="auto"/>
        <w:tabs>
          <w:tab w:leader="none" w:pos="12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left="1200" w:hanging="382"/>
        <w:spacing w:after="0" w:line="248"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440" w:hanging="371"/>
        <w:spacing w:after="0" w:line="291" w:lineRule="auto"/>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200" w:right="20" w:hanging="382"/>
        <w:spacing w:after="0" w:line="291" w:lineRule="auto"/>
        <w:tabs>
          <w:tab w:leader="none" w:pos="12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1200" w:hanging="382"/>
        <w:spacing w:after="0" w:line="261"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ind w:left="2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28,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182"/>
        </w:trPr>
        <w:tc>
          <w:tcPr>
            <w:tcW w:w="7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40" w:type="dxa"/>
            <w:vAlign w:val="bottom"/>
          </w:tcPr>
          <w:p>
            <w:pPr>
              <w:ind w:left="2020"/>
              <w:spacing w:after="0" w:line="182"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82" w:lineRule="exact"/>
              <w:rPr>
                <w:sz w:val="20"/>
                <w:szCs w:val="20"/>
                <w:color w:val="auto"/>
              </w:rPr>
            </w:pPr>
            <w:r>
              <w:rPr>
                <w:rFonts w:ascii="Arial" w:cs="Arial" w:eastAsia="Arial" w:hAnsi="Arial"/>
                <w:sz w:val="18"/>
                <w:szCs w:val="18"/>
                <w:color w:val="auto"/>
              </w:rPr>
              <w:t>Natasha Fernandes</w:t>
            </w:r>
          </w:p>
        </w:tc>
      </w:tr>
      <w:tr>
        <w:trPr>
          <w:trHeight w:val="230"/>
        </w:trPr>
        <w:tc>
          <w:tcPr>
            <w:tcW w:w="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06"/>
        </w:trPr>
        <w:tc>
          <w:tcPr>
            <w:tcW w:w="7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CERTIFICATIONS</w:t>
      </w:r>
    </w:p>
    <w:p>
      <w:pPr>
        <w:jc w:val="center"/>
        <w:spacing w:after="0" w:line="233" w:lineRule="auto"/>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378" w:lineRule="exact"/>
        <w:rPr>
          <w:sz w:val="20"/>
          <w:szCs w:val="20"/>
          <w:color w:val="auto"/>
        </w:rPr>
      </w:pPr>
    </w:p>
    <w:p>
      <w:pPr>
        <w:jc w:val="both"/>
        <w:ind w:right="20" w:firstLine="749"/>
        <w:spacing w:after="0" w:line="24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Quarterly Report on Form 10-Q for the quarter ended June 30,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ind w:left="2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28,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L. Gelfond</w:t>
            </w:r>
          </w:p>
        </w:tc>
      </w:tr>
      <w:tr>
        <w:trPr>
          <w:trHeight w:val="182"/>
        </w:trPr>
        <w:tc>
          <w:tcPr>
            <w:tcW w:w="7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40" w:type="dxa"/>
            <w:vAlign w:val="bottom"/>
          </w:tcPr>
          <w:p>
            <w:pPr>
              <w:ind w:left="2020"/>
              <w:spacing w:after="0" w:line="182"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82" w:lineRule="exact"/>
              <w:rPr>
                <w:sz w:val="20"/>
                <w:szCs w:val="20"/>
                <w:color w:val="auto"/>
              </w:rPr>
            </w:pPr>
            <w:r>
              <w:rPr>
                <w:rFonts w:ascii="Arial" w:cs="Arial" w:eastAsia="Arial" w:hAnsi="Arial"/>
                <w:sz w:val="18"/>
                <w:szCs w:val="18"/>
                <w:color w:val="auto"/>
              </w:rPr>
              <w:t>Richard L. Gelfond</w:t>
            </w:r>
          </w:p>
        </w:tc>
      </w:tr>
      <w:tr>
        <w:trPr>
          <w:trHeight w:val="230"/>
        </w:trPr>
        <w:tc>
          <w:tcPr>
            <w:tcW w:w="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07"/>
        </w:trPr>
        <w:tc>
          <w:tcPr>
            <w:tcW w:w="7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32.2</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CERTIFICATIONS</w:t>
      </w:r>
    </w:p>
    <w:p>
      <w:pPr>
        <w:jc w:val="center"/>
        <w:spacing w:after="0" w:line="233" w:lineRule="auto"/>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378" w:lineRule="exact"/>
        <w:rPr>
          <w:sz w:val="20"/>
          <w:szCs w:val="20"/>
          <w:color w:val="auto"/>
        </w:rPr>
      </w:pPr>
    </w:p>
    <w:p>
      <w:pPr>
        <w:jc w:val="both"/>
        <w:ind w:right="20" w:firstLine="749"/>
        <w:spacing w:after="0" w:line="324"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1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Quarterly Report on Form 10-Q for the quarter ended June 30,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ind w:left="2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28,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182"/>
        </w:trPr>
        <w:tc>
          <w:tcPr>
            <w:tcW w:w="7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40" w:type="dxa"/>
            <w:vAlign w:val="bottom"/>
          </w:tcPr>
          <w:p>
            <w:pPr>
              <w:ind w:left="2020"/>
              <w:spacing w:after="0" w:line="182"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82" w:lineRule="exact"/>
              <w:rPr>
                <w:sz w:val="20"/>
                <w:szCs w:val="20"/>
                <w:color w:val="auto"/>
              </w:rPr>
            </w:pPr>
            <w:r>
              <w:rPr>
                <w:rFonts w:ascii="Arial" w:cs="Arial" w:eastAsia="Arial" w:hAnsi="Arial"/>
                <w:sz w:val="18"/>
                <w:szCs w:val="18"/>
                <w:color w:val="auto"/>
              </w:rPr>
              <w:t>Natasha Fernandes</w:t>
            </w:r>
          </w:p>
        </w:tc>
      </w:tr>
      <w:tr>
        <w:trPr>
          <w:trHeight w:val="230"/>
        </w:trPr>
        <w:tc>
          <w:tcPr>
            <w:tcW w:w="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07"/>
        </w:trPr>
        <w:tc>
          <w:tcPr>
            <w:tcW w:w="7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6"/>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8"/>
    </w:lvl>
    <w:lvl w:ilvl="1">
      <w:lvlJc w:val="left"/>
      <w:lvlText w:val="(%2)"/>
      <w:numFmt w:val="lowerLetter"/>
      <w:start w:val="1"/>
    </w:lvl>
  </w:abstractNum>
  <w:abstractNum w:abstractNumId="8">
    <w:nsid w:val="737B8DDC"/>
    <w:multiLevelType w:val="hybridMultilevel"/>
    <w:lvl w:ilvl="0">
      <w:lvlJc w:val="left"/>
      <w:lvlText w:val="(%1)"/>
      <w:numFmt w:val="lowerRoman"/>
      <w:start w:val="1"/>
    </w:lvl>
  </w:abstractNum>
  <w:abstractNum w:abstractNumId="9">
    <w:nsid w:val="6CEAF087"/>
    <w:multiLevelType w:val="hybridMultilevel"/>
    <w:lvl w:ilvl="0">
      <w:lvlJc w:val="left"/>
      <w:lvlText w:val="(%1)"/>
      <w:numFmt w:val="lowerLetter"/>
      <w:start w:val="6"/>
    </w:lvl>
  </w:abstractNum>
  <w:abstractNum w:abstractNumId="10">
    <w:nsid w:val="22221A70"/>
    <w:multiLevelType w:val="hybridMultilevel"/>
    <w:lvl w:ilvl="0">
      <w:lvlJc w:val="left"/>
      <w:lvlText w:val="(%1)"/>
      <w:numFmt w:val="decimal"/>
      <w:start w:val="1"/>
    </w:lvl>
    <w:lvl w:ilvl="1">
      <w:lvlJc w:val="left"/>
      <w:lvlText w:val="(%2)"/>
      <w:numFmt w:val="lowerLetter"/>
      <w:start w:val="2"/>
    </w:lvl>
  </w:abstractNum>
  <w:abstractNum w:abstractNumId="11">
    <w:nsid w:val="4516DDE9"/>
    <w:multiLevelType w:val="hybridMultilevel"/>
    <w:lvl w:ilvl="0">
      <w:lvlJc w:val="left"/>
      <w:lvlText w:val="(%1)"/>
      <w:numFmt w:val="lowerLetter"/>
      <w:start w:val="3"/>
    </w:lvl>
  </w:abstractNum>
  <w:abstractNum w:abstractNumId="12">
    <w:nsid w:val="3006C83E"/>
    <w:multiLevelType w:val="hybridMultilevel"/>
    <w:lvl w:ilvl="0">
      <w:lvlJc w:val="left"/>
      <w:lvlText w:val="%1."/>
      <w:numFmt w:val="decimal"/>
      <w:start w:val="10"/>
    </w:lvl>
    <w:lvl w:ilvl="1">
      <w:lvlJc w:val="left"/>
      <w:lvlText w:val="(%2)"/>
      <w:numFmt w:val="lowerLetter"/>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lvl w:ilvl="1">
      <w:lvlJc w:val="left"/>
      <w:lvlText w:val="(%2)"/>
      <w:numFmt w:val="lowerLetter"/>
      <w:start w:val="4"/>
    </w:lvl>
  </w:abstractNum>
  <w:abstractNum w:abstractNumId="15">
    <w:nsid w:val="5577F8E1"/>
    <w:multiLevelType w:val="hybridMultilevel"/>
    <w:lvl w:ilvl="0">
      <w:lvlJc w:val="left"/>
      <w:lvlText w:val="%1."/>
      <w:numFmt w:val="decimal"/>
      <w:start w:val="12"/>
    </w:lvl>
    <w:lvl w:ilvl="1">
      <w:lvlJc w:val="left"/>
      <w:lvlText w:val="(%2)"/>
      <w:numFmt w:val="lowerLetter"/>
      <w:start w:val="1"/>
    </w:lvl>
  </w:abstractNum>
  <w:abstractNum w:abstractNumId="16">
    <w:nsid w:val="440BADFC"/>
    <w:multiLevelType w:val="hybridMultilevel"/>
    <w:lvl w:ilvl="0">
      <w:lvlJc w:val="left"/>
      <w:lvlText w:val="%1."/>
      <w:numFmt w:val="decimal"/>
      <w:start w:val="13"/>
    </w:lvl>
    <w:lvl w:ilvl="1">
      <w:lvlJc w:val="left"/>
      <w:lvlText w:val="(%2)"/>
      <w:numFmt w:val="lowerLetter"/>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lowerRoman"/>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5"/>
    </w:lvl>
    <w:lvl w:ilvl="1">
      <w:lvlJc w:val="left"/>
      <w:lvlText w:val="(%2)"/>
      <w:numFmt w:val="lowerLetter"/>
      <w:start w:val="1"/>
    </w:lvl>
  </w:abstractNum>
  <w:abstractNum w:abstractNumId="22">
    <w:nsid w:val="2463B9EA"/>
    <w:multiLevelType w:val="hybridMultilevel"/>
    <w:lvl w:ilvl="0">
      <w:lvlJc w:val="left"/>
      <w:lvlText w:val="\emdash "/>
      <w:numFmt w:val="bullet"/>
      <w:start w:val="1"/>
    </w:lvl>
  </w:abstractNum>
  <w:abstractNum w:abstractNumId="23">
    <w:nsid w:val="5E884ADC"/>
    <w:multiLevelType w:val="hybridMultilevel"/>
    <w:lvl w:ilvl="0">
      <w:lvlJc w:val="left"/>
      <w:lvlText w:val="%1."/>
      <w:numFmt w:val="decimal"/>
      <w:start w:val="16"/>
    </w:lvl>
    <w:lvl w:ilvl="1">
      <w:lvlJc w:val="left"/>
      <w:lvlText w:val="(%2)"/>
      <w:numFmt w:val="lowerLetter"/>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7"/>
    </w:lvl>
    <w:lvl w:ilvl="1">
      <w:lvlJc w:val="left"/>
      <w:lvlText w:val="(%2)"/>
      <w:numFmt w:val="lowerLetter"/>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lowerRoman"/>
      <w:start w:val="2"/>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lowerRoman"/>
      <w:start w:val="2"/>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lowerRoman"/>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jpe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2022-07-29T05:24:46Z</dcterms:created>
  <dcterms:modified xsi:type="dcterms:W3CDTF">2022-07-29T05:24:46Z</dcterms:modified>
</cp:coreProperties>
</file>