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b/>
          <w:color w:val="000000"/>
          <w:sz w:val="2"/>
        </w:rPr>
      </w:pPr>
      <w:bookmarkStart w:id="0" w:name="imax-20231231.htm"/>
      <w:bookmarkStart w:id="1" w:name="ksimax20231231"/>
      <w:bookmarkEnd w:id="0"/>
      <w:bookmarkEnd w:id="1"/>
      <w:r>
        <w:rPr>
          <w:rFonts w:ascii="Times New Roman" w:hAnsi="Times New Roman"/>
          <w:b/>
          <w:color w:val="000000"/>
          <w:sz w:val="2"/>
        </w:rPr>
        <w:t>1Q1+</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b/>
          <w:color w:val="000000"/>
          <w:sz w:val="14"/>
        </w:rPr>
      </w:pPr>
      <w:r>
        <w:rPr>
          <w:rFonts w:ascii="Times New Roman" w:hAnsi="Times New Roman"/>
          <w:b/>
          <w:color w:val="000000"/>
          <w:sz w:val="14"/>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5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80" w:after="283"/>
        <w:jc w:val="center"/>
        <w:rPr>
          <w:rFonts w:ascii="Times New Roman" w:hAnsi="Times New Roman"/>
          <w:b/>
          <w:color w:val="000000"/>
          <w:sz w:val="14"/>
        </w:rPr>
      </w:pPr>
      <w:r>
        <w:rPr>
          <w:rFonts w:ascii="Times New Roman" w:hAnsi="Times New Roman"/>
          <w:b/>
          <w:color w:val="000000"/>
          <w:sz w:val="14"/>
        </w:rPr>
        <w:t>For the fiscal year ended December 31,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4"/>
        </w:rPr>
      </w:pPr>
      <w:r>
        <w:rPr>
          <w:rFonts w:ascii="Times New Roman" w:hAnsi="Times New Roman"/>
          <w:b/>
          <w:color w:val="000000"/>
          <w:sz w:val="14"/>
        </w:rPr>
        <w:t>Commission file Number 001-35066</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IMAX Corporation</w:t>
      </w:r>
    </w:p>
    <w:p>
      <w:pPr>
        <w:pStyle w:val="TextBody"/>
        <w:bidi w:val="0"/>
        <w:jc w:val="center"/>
        <w:rPr>
          <w:rFonts w:ascii="Times New Roman" w:hAnsi="Times New Roman"/>
          <w:i/>
          <w:color w:val="000000"/>
          <w:sz w:val="14"/>
        </w:rPr>
      </w:pPr>
      <w:r>
        <w:rPr>
          <w:rFonts w:ascii="Times New Roman" w:hAnsi="Times New Roman"/>
          <w:i/>
          <w:color w:val="000000"/>
          <w:sz w:val="14"/>
        </w:rPr>
        <w:t>(Exact name of registrant as specified in its charter)</w:t>
      </w:r>
    </w:p>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3481"/>
        <w:gridCol w:w="2956"/>
      </w:tblGrid>
      <w:tr>
        <w:trPr/>
        <w:tc>
          <w:tcPr>
            <w:tcW w:w="348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Canada</w:t>
            </w:r>
          </w:p>
        </w:tc>
        <w:tc>
          <w:tcPr>
            <w:tcW w:w="295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98-0140269</w:t>
            </w:r>
          </w:p>
        </w:tc>
      </w:tr>
      <w:tr>
        <w:trPr/>
        <w:tc>
          <w:tcPr>
            <w:tcW w:w="3481" w:type="dxa"/>
            <w:tcBorders/>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(State or other jurisdiction of</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incorporation or organization)</w:t>
            </w:r>
          </w:p>
        </w:tc>
        <w:tc>
          <w:tcPr>
            <w:tcW w:w="2956" w:type="dxa"/>
            <w:tcBorders/>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(I.R.S. Employer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Identification Number)</w:t>
            </w:r>
          </w:p>
        </w:tc>
      </w:tr>
      <w:tr>
        <w:trPr/>
        <w:tc>
          <w:tcPr>
            <w:tcW w:w="3481" w:type="dxa"/>
            <w:tcBorders/>
            <w:vAlign w:val="center"/>
          </w:tcPr>
          <w:p>
            <w:pPr>
              <w:pStyle w:val="TableContents"/>
              <w:bidi w:val="0"/>
              <w:spacing w:before="0" w:after="283"/>
              <w:jc w:val="center"/>
              <w:rPr/>
            </w:pPr>
            <w:r>
              <w:rPr/>
              <w:t> </w:t>
            </w:r>
          </w:p>
        </w:tc>
        <w:tc>
          <w:tcPr>
            <w:tcW w:w="2956" w:type="dxa"/>
            <w:tcBorders/>
            <w:vAlign w:val="center"/>
          </w:tcPr>
          <w:p>
            <w:pPr>
              <w:pStyle w:val="TableContents"/>
              <w:bidi w:val="0"/>
              <w:spacing w:before="0" w:after="283"/>
              <w:jc w:val="center"/>
              <w:rPr/>
            </w:pPr>
            <w:r>
              <w:rPr/>
              <w:t> </w:t>
            </w:r>
          </w:p>
        </w:tc>
      </w:tr>
      <w:tr>
        <w:trPr/>
        <w:tc>
          <w:tcPr>
            <w:tcW w:w="348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2525 Speakman Drive,</w:t>
            </w:r>
          </w:p>
          <w:p>
            <w:pPr>
              <w:pStyle w:val="TableContents"/>
              <w:bidi w:val="0"/>
              <w:jc w:val="left"/>
              <w:rPr>
                <w:rFonts w:ascii="Times New Roman" w:hAnsi="Times New Roman"/>
                <w:sz w:val="20"/>
              </w:rPr>
            </w:pPr>
            <w:r>
              <w:rPr>
                <w:rFonts w:ascii="Times New Roman" w:hAnsi="Times New Roman"/>
                <w:b/>
                <w:color w:val="000000"/>
                <w:sz w:val="20"/>
              </w:rPr>
              <w:t>Mississauga, Ontario, Canada</w:t>
            </w:r>
            <w:r>
              <w:rPr>
                <w:rFonts w:ascii="Times New Roman" w:hAnsi="Times New Roman"/>
                <w:color w:val="000000"/>
                <w:sz w:val="20"/>
              </w:rPr>
              <w:t xml:space="preserve"> </w:t>
            </w:r>
            <w:r>
              <w:rPr>
                <w:rFonts w:ascii="Times New Roman" w:hAnsi="Times New Roman"/>
                <w:b/>
                <w:color w:val="000000"/>
                <w:sz w:val="20"/>
              </w:rPr>
              <w:t>L5K 1B1</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(905) 403-6457</w:t>
            </w:r>
          </w:p>
        </w:tc>
        <w:tc>
          <w:tcPr>
            <w:tcW w:w="2956"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902 Broadway, Floor 20</w:t>
            </w:r>
          </w:p>
          <w:p>
            <w:pPr>
              <w:pStyle w:val="TableContents"/>
              <w:bidi w:val="0"/>
              <w:jc w:val="left"/>
              <w:rPr>
                <w:rFonts w:ascii="Times New Roman" w:hAnsi="Times New Roman"/>
                <w:sz w:val="20"/>
              </w:rPr>
            </w:pPr>
            <w:r>
              <w:rPr>
                <w:rFonts w:ascii="Times New Roman" w:hAnsi="Times New Roman"/>
                <w:b/>
                <w:color w:val="000000"/>
                <w:sz w:val="20"/>
              </w:rPr>
              <w:t>New York, New York, USA</w:t>
            </w:r>
            <w:r>
              <w:rPr>
                <w:rFonts w:ascii="Times New Roman" w:hAnsi="Times New Roman"/>
                <w:color w:val="000000"/>
                <w:sz w:val="20"/>
              </w:rPr>
              <w:t xml:space="preserve"> </w:t>
            </w:r>
            <w:r>
              <w:rPr>
                <w:rFonts w:ascii="Times New Roman" w:hAnsi="Times New Roman"/>
                <w:b/>
                <w:color w:val="000000"/>
                <w:sz w:val="20"/>
              </w:rPr>
              <w:t>10010</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(212) 821-0142</w:t>
            </w:r>
          </w:p>
        </w:tc>
      </w:tr>
    </w:tbl>
    <w:p>
      <w:pPr>
        <w:pStyle w:val="TextBody"/>
        <w:bidi w:val="0"/>
        <w:jc w:val="center"/>
        <w:rPr>
          <w:rFonts w:ascii="Times New Roman" w:hAnsi="Times New Roman"/>
          <w:i/>
          <w:color w:val="000000"/>
          <w:sz w:val="20"/>
        </w:rPr>
      </w:pPr>
      <w:r>
        <w:rPr>
          <w:rFonts w:ascii="Times New Roman" w:hAnsi="Times New Roman"/>
          <w:i/>
          <w:color w:val="000000"/>
          <w:sz w:val="20"/>
        </w:rPr>
        <w:t>(Address of principal executive offices, zip code, telephone numbers)</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center"/>
        <w:rPr/>
      </w:pPr>
      <w:r>
        <w:rPr/>
        <w:t> </w:t>
      </w:r>
    </w:p>
    <w:tbl>
      <w:tblPr>
        <w:tblW w:w="8485" w:type="dxa"/>
        <w:jc w:val="left"/>
        <w:tblInd w:w="0" w:type="dxa"/>
        <w:tblLayout w:type="fixed"/>
        <w:tblCellMar>
          <w:top w:w="28" w:type="dxa"/>
          <w:left w:w="28" w:type="dxa"/>
          <w:bottom w:w="28" w:type="dxa"/>
          <w:right w:w="28" w:type="dxa"/>
        </w:tblCellMar>
      </w:tblPr>
      <w:tblGrid>
        <w:gridCol w:w="2671"/>
        <w:gridCol w:w="146"/>
        <w:gridCol w:w="1696"/>
        <w:gridCol w:w="146"/>
        <w:gridCol w:w="382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 no par value</w:t>
            </w:r>
          </w:p>
        </w:tc>
        <w:tc>
          <w:tcPr>
            <w:tcW w:w="146" w:type="dxa"/>
            <w:tcBorders/>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IMAX</w:t>
            </w:r>
          </w:p>
        </w:tc>
        <w:tc>
          <w:tcPr>
            <w:tcW w:w="146" w:type="dxa"/>
            <w:tcBorders/>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New York Stock Exchange</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jc w:val="center"/>
        <w:rPr>
          <w:rFonts w:ascii="Times New Roman" w:hAnsi="Times New Roman"/>
          <w:b/>
          <w:color w:val="000000"/>
          <w:sz w:val="18"/>
        </w:rPr>
      </w:pPr>
      <w:r>
        <w:rPr>
          <w:rFonts w:ascii="Times New Roman" w:hAnsi="Times New Roman"/>
          <w:b/>
          <w:color w:val="000000"/>
          <w:sz w:val="18"/>
        </w:rPr>
        <w:t>None</w:t>
      </w:r>
    </w:p>
    <w:p>
      <w:pPr>
        <w:pStyle w:val="TextBody"/>
        <w:bidi w:val="0"/>
        <w:jc w:val="center"/>
        <w:rPr>
          <w:rFonts w:ascii="Times New Roman" w:hAnsi="Times New Roman"/>
          <w:i/>
          <w:color w:val="000000"/>
          <w:sz w:val="18"/>
        </w:rPr>
      </w:pPr>
      <w:r>
        <w:rPr>
          <w:rFonts w:ascii="Times New Roman" w:hAnsi="Times New Roman"/>
          <w:i/>
          <w:color w:val="000000"/>
          <w:sz w:val="18"/>
        </w:rPr>
        <w:t>(Title of class)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both"/>
        <w:rPr/>
      </w:pPr>
      <w:r>
        <w:rPr/>
        <w:t> </w:t>
      </w:r>
    </w:p>
    <w:tbl>
      <w:tblPr>
        <w:tblW w:w="4147" w:type="dxa"/>
        <w:jc w:val="left"/>
        <w:tblInd w:w="0" w:type="dxa"/>
        <w:tblLayout w:type="fixed"/>
        <w:tblCellMar>
          <w:top w:w="28" w:type="dxa"/>
          <w:left w:w="28" w:type="dxa"/>
          <w:bottom w:w="28" w:type="dxa"/>
          <w:right w:w="28" w:type="dxa"/>
        </w:tblCellMar>
      </w:tblPr>
      <w:tblGrid>
        <w:gridCol w:w="1366"/>
        <w:gridCol w:w="146"/>
        <w:gridCol w:w="316"/>
        <w:gridCol w:w="146"/>
        <w:gridCol w:w="1666"/>
        <w:gridCol w:w="14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000000"/>
          <w:sz w:val="14"/>
        </w:rPr>
        <w:br/>
      </w:r>
      <w:r>
        <w:rPr>
          <w:rFonts w:ascii="Times New Roman" w:hAnsi="Times New Roman"/>
          <w:color w:val="000000"/>
          <w:sz w:val="20"/>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4"/>
        </w:rPr>
        <w:t>The aggregate market value of the common shares of the registrant held by non-affiliates of the registrant, computed by reference to the last sale price of such shares as of the close of trading on June 30, 2023 was $758.9</w:t>
      </w:r>
      <w:r>
        <w:rPr>
          <w:rFonts w:ascii="Times New Roman" w:hAnsi="Times New Roman"/>
          <w:color w:val="000000"/>
          <w:sz w:val="20"/>
        </w:rPr>
        <w:t xml:space="preserve"> </w:t>
      </w:r>
      <w:r>
        <w:rPr>
          <w:rFonts w:ascii="Times New Roman" w:hAnsi="Times New Roman"/>
          <w:color w:val="000000"/>
          <w:sz w:val="14"/>
        </w:rPr>
        <w:t>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4"/>
        </w:rPr>
        <w:t>As of January 31, 2024, there were 52,951,334</w:t>
      </w:r>
      <w:r>
        <w:rPr>
          <w:rFonts w:ascii="Times New Roman" w:hAnsi="Times New Roman"/>
          <w:color w:val="000000"/>
          <w:sz w:val="20"/>
        </w:rPr>
        <w:t xml:space="preserve"> </w:t>
      </w:r>
      <w:r>
        <w:rPr>
          <w:rFonts w:ascii="Times New Roman" w:hAnsi="Times New Roman"/>
          <w:color w:val="000000"/>
          <w:sz w:val="14"/>
        </w:rPr>
        <w:t>common shares of the registrant outstanding.</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 Incorporated by Reference</w:t>
      </w:r>
    </w:p>
    <w:p>
      <w:pPr>
        <w:pStyle w:val="TextBody"/>
        <w:bidi w:val="0"/>
        <w:spacing w:before="80" w:after="283"/>
        <w:jc w:val="both"/>
        <w:rPr>
          <w:rFonts w:ascii="Times New Roman" w:hAnsi="Times New Roman"/>
          <w:color w:val="000000"/>
          <w:sz w:val="14"/>
        </w:rPr>
      </w:pPr>
      <w:r>
        <w:rPr>
          <w:rFonts w:ascii="Times New Roman" w:hAnsi="Times New Roman"/>
          <w:color w:val="000000"/>
          <w:sz w:val="14"/>
        </w:rPr>
        <w:t>Portions of the registrant’s definitive Proxy Statement to be filed within 120 days of the close of IMAX Corporation’s fiscal year ended December 31, 2023, with the Securities and Exchange Commission pursuant to Regulation 14A involving the election of directors and the annual meeting of the stockholders of the registrant (the “Proxy Statement”) are incorporated by reference in Part III of this Form 10-K to the extent described therein.</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8340"/>
        <w:gridCol w:w="146"/>
        <w:gridCol w:w="512"/>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05" w:type="dxa"/>
            <w:gridSpan w:val="5"/>
            <w:tcBorders/>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Selected Financial Data</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7a_quantitative_qualitative_factors">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9c_othe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9c_disclosure_foreign_jurisdictions">
              <w:r>
                <w:rPr>
                  <w:rStyle w:val="InternetLink"/>
                  <w:rFonts w:ascii="Times New Roman" w:hAnsi="Times New Roman"/>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1061" w:type="dxa"/>
            <w:tcBorders/>
            <w:vAlign w:val="center"/>
          </w:tcPr>
          <w:p>
            <w:pPr>
              <w:pStyle w:val="TableContents"/>
              <w:bidi w:val="0"/>
              <w:spacing w:before="0" w:after="283"/>
              <w:jc w:val="left"/>
              <w:rPr/>
            </w:pPr>
            <w:hyperlink w:anchor="notes">
              <w:r>
                <w:rPr>
                  <w:rStyle w:val="InternetLink"/>
                  <w:rFonts w:ascii="Times New Roman" w:hAnsi="Times New Roman"/>
                  <w:b/>
                  <w:color w:val="0000FF"/>
                  <w:sz w:val="20"/>
                  <w:u w:val="single"/>
                </w:rPr>
                <w:t>Signatures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EXCHANGE RATE DATA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Unless otherwise indicated, all dollar amounts in this document are expressed in United States (“U.S.”) Dollars. The following table sets forth, for the periods indicated, certain exchange rates based on the noon buying rate in the City of New York for cable transfers in foreign currencies as certified for customs purposes by the Bank of Canada (the “Noon Buying Rate”). Such rates quoted are the number of U.S. Dollars per one Canadian Dollar and are the inverse of rates quoted by the Bank of Canada for Canadian Dollars per U.S. $1.00. The average exchange rate is based on the average of the exchange rates on the last day of each month during such periods. The Noon Buying Rate on December 31, 2023 was U.S. $0.7561.</w:t>
      </w:r>
    </w:p>
    <w:tbl>
      <w:tblPr>
        <w:tblW w:w="8736" w:type="dxa"/>
        <w:jc w:val="left"/>
        <w:tblInd w:w="0" w:type="dxa"/>
        <w:tblLayout w:type="fixed"/>
        <w:tblCellMar>
          <w:top w:w="28" w:type="dxa"/>
          <w:left w:w="28" w:type="dxa"/>
          <w:bottom w:w="28" w:type="dxa"/>
          <w:right w:w="28" w:type="dxa"/>
        </w:tblCellMar>
      </w:tblPr>
      <w:tblGrid>
        <w:gridCol w:w="3121"/>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at end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0.7699</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exchange rate during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0.7536</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exchange rate during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0.7699</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exchange rate during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0.7353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INFORMATION</w:t>
      </w:r>
    </w:p>
    <w:p>
      <w:pPr>
        <w:pStyle w:val="TextBody"/>
        <w:bidi w:val="0"/>
        <w:spacing w:before="200" w:after="283"/>
        <w:jc w:val="both"/>
        <w:rPr>
          <w:rFonts w:ascii="Times New Roman" w:hAnsi="Times New Roman"/>
          <w:sz w:val="20"/>
        </w:rPr>
      </w:pPr>
      <w:r>
        <w:rPr>
          <w:rFonts w:ascii="Times New Roman" w:hAnsi="Times New Roman"/>
          <w:color w:val="000000"/>
          <w:sz w:val="20"/>
        </w:rPr>
        <w:t>Certain statements included in this annual report may constitute “forward-looking statements” within the meaning of the U.S.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the performance of IMAX DMR</w:t>
      </w:r>
      <w:r>
        <w:rPr>
          <w:rFonts w:ascii="Times New Roman" w:hAnsi="Times New Roman"/>
          <w:color w:val="000000"/>
          <w:sz w:val="13"/>
        </w:rPr>
        <w:t>®</w:t>
      </w:r>
      <w:r>
        <w:rPr>
          <w:rFonts w:ascii="Times New Roman" w:hAnsi="Times New Roman"/>
          <w:color w:val="000000"/>
          <w:sz w:val="20"/>
        </w:rPr>
        <w:t xml:space="preserve">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(“SEDAR+”);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IMAX</w:t>
      </w:r>
      <w:r>
        <w:rPr>
          <w:rFonts w:ascii="Times New Roman" w:hAnsi="Times New Roman"/>
          <w:color w:val="000000"/>
          <w:sz w:val="13"/>
        </w:rPr>
        <w:t>®</w:t>
      </w:r>
      <w:r>
        <w:rPr>
          <w:rFonts w:ascii="Times New Roman" w:hAnsi="Times New Roman"/>
          <w:color w:val="000000"/>
          <w:sz w:val="20"/>
        </w:rPr>
        <w:t>, IMAX</w:t>
      </w:r>
      <w:r>
        <w:rPr>
          <w:rFonts w:ascii="Times New Roman" w:hAnsi="Times New Roman"/>
          <w:color w:val="000000"/>
          <w:sz w:val="13"/>
        </w:rPr>
        <w:t>®</w:t>
      </w:r>
      <w:r>
        <w:rPr>
          <w:rFonts w:ascii="Times New Roman" w:hAnsi="Times New Roman"/>
          <w:color w:val="000000"/>
          <w:sz w:val="20"/>
        </w:rPr>
        <w:t xml:space="preserve"> 3D, Experience It In IMAX</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13"/>
        </w:rPr>
        <w:t>®</w:t>
      </w:r>
      <w:r>
        <w:rPr>
          <w:rFonts w:ascii="Times New Roman" w:hAnsi="Times New Roman"/>
          <w:color w:val="000000"/>
          <w:sz w:val="20"/>
        </w:rPr>
        <w:t>, DMR</w:t>
      </w:r>
      <w:r>
        <w:rPr>
          <w:rFonts w:ascii="Times New Roman" w:hAnsi="Times New Roman"/>
          <w:color w:val="000000"/>
          <w:sz w:val="13"/>
        </w:rPr>
        <w:t>®</w:t>
      </w:r>
      <w:r>
        <w:rPr>
          <w:rFonts w:ascii="Times New Roman" w:hAnsi="Times New Roman"/>
          <w:color w:val="000000"/>
          <w:sz w:val="20"/>
        </w:rPr>
        <w:t>, Filmed For IMAX</w:t>
      </w:r>
      <w:r>
        <w:rPr>
          <w:rFonts w:ascii="Times New Roman" w:hAnsi="Times New Roman"/>
          <w:color w:val="000000"/>
          <w:sz w:val="13"/>
        </w:rPr>
        <w:t>®</w:t>
      </w:r>
      <w:r>
        <w:rPr>
          <w:rFonts w:ascii="Times New Roman" w:hAnsi="Times New Roman"/>
          <w:color w:val="000000"/>
          <w:sz w:val="20"/>
        </w:rPr>
        <w:t>, IMAX Live</w:t>
      </w:r>
      <w:r>
        <w:rPr>
          <w:rFonts w:ascii="Times New Roman" w:hAnsi="Times New Roman"/>
          <w:color w:val="000000"/>
          <w:sz w:val="13"/>
        </w:rPr>
        <w:t>TM</w:t>
      </w:r>
      <w:r>
        <w:rPr>
          <w:rFonts w:ascii="Times New Roman" w:hAnsi="Times New Roman"/>
          <w:color w:val="000000"/>
          <w:sz w:val="20"/>
        </w:rPr>
        <w:t>, IMAX Enhanced</w:t>
      </w:r>
      <w:r>
        <w:rPr>
          <w:rFonts w:ascii="Times New Roman" w:hAnsi="Times New Roman"/>
          <w:color w:val="000000"/>
          <w:sz w:val="13"/>
        </w:rPr>
        <w:t>®</w:t>
      </w:r>
      <w:r>
        <w:rPr>
          <w:rFonts w:ascii="Times New Roman" w:hAnsi="Times New Roman"/>
          <w:color w:val="000000"/>
          <w:sz w:val="20"/>
        </w:rPr>
        <w:t>, Stream Smart</w:t>
      </w:r>
      <w:r>
        <w:rPr>
          <w:rFonts w:ascii="Times New Roman" w:hAnsi="Times New Roman"/>
          <w:color w:val="000000"/>
          <w:sz w:val="13"/>
        </w:rPr>
        <w:t xml:space="preserve">TM </w:t>
      </w:r>
      <w:r>
        <w:rPr>
          <w:rFonts w:ascii="Times New Roman" w:hAnsi="Times New Roman"/>
          <w:color w:val="000000"/>
          <w:sz w:val="20"/>
        </w:rPr>
        <w:t>and SSIMWAVE</w:t>
      </w:r>
      <w:r>
        <w:rPr>
          <w:rFonts w:ascii="Times New Roman" w:hAnsi="Times New Roman"/>
          <w:color w:val="000000"/>
          <w:sz w:val="13"/>
        </w:rPr>
        <w:t xml:space="preserve">® </w:t>
      </w:r>
      <w:r>
        <w:rPr>
          <w:rFonts w:ascii="Times New Roman" w:hAnsi="Times New Roman"/>
          <w:color w:val="000000"/>
          <w:sz w:val="20"/>
        </w:rPr>
        <w:t>are trademarks and trade names of the Company or its subsidiaries that are registered or otherwise protected under laws of various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 w:name="item_1_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 indirectly owns 71.55% of IMAX China Holding, Inc. (“IMAX China”), whose shares trade on the Hong Kong Stock Exchange. IMAX China is a consolidated subsidiary of the Company.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both"/>
        <w:rPr>
          <w:rFonts w:ascii="Times New Roman" w:hAnsi="Times New Roman"/>
          <w:sz w:val="20"/>
        </w:rPr>
      </w:pPr>
      <w:r>
        <w:rPr>
          <w:rFonts w:ascii="Times New Roman" w:hAnsi="Times New Roman"/>
          <w:color w:val="000000"/>
          <w:sz w:val="20"/>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hAnsi="Times New Roman"/>
          <w:color w:val="000000"/>
          <w:sz w:val="13"/>
        </w:rPr>
        <w:t>®</w:t>
      </w:r>
      <w:r>
        <w:rPr>
          <w:rFonts w:ascii="Times New Roman" w:hAnsi="Times New Roman"/>
          <w:color w:val="000000"/>
          <w:sz w:val="20"/>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leverages its proprietary technology and engineering in all aspects of its business, which principally consists of the IMAX film remastering (“IMAX Film Remastering” and formerly known as “IMAX DMR”) and the sale or lease of premium IMAX theater systems (“IMAX System(s)”).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Systems are based on proprietary and patented image, audio and other technology developed over the course of the Company’s history since its founding in 1967. The customers for IMAX Systems are principally theatrical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to exhibitor customers along with a license to use its trademarks and ongoing maintenance services for which there is an annual payment by the exhibitor to IMAX.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has the largest global premium format network, more than double the size of its nearest competitor. As of December 31, 2023, there were 1,772 IMAX Systems operating in 90 countries and territories, including 1,693 commercial multiplexes, 12 commercial destinations, and 67 institutional locations in the Company’s global network. This compares to 1,716 IMAX Systems operating in 87 countries and territories as of December 31, 2022, including 1,633 commercial multiplexes, 12 commercial destinations, and 71 institutional locations in the Company’s global network. Additional information on the composition of the IMAX network is provided in the discussion of Marketing and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Systems provide the Company’s exhibitor customers with a combination of the following benefits: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ability to exhibit content that has been enhanced through IMAX Film Remastering, which usually results in higher image and sound fidelity than conventional cinema experiences;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advanced, high-resolution projectors with specialized equipment and automated theater control systems, which generate significantly more contrast and brightness than conventional theater systems;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large screens and proprietary auditorium geometry, which result in a substantially larger field of view so that the screen extends to the edge of a viewer’s peripheral vision and creates more realistic images;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advanced sound system components, which deliver more expansive sound imagery and pinpointed origination of sound to any specific spot in an auditorium equipped with an IMAX System;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specialized theater acoustics, which result in a four-fold reduction in background noise;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ongoing maintenance and extended warranty services;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license to the globally recognized IMAX brand, as well as benefits from IMAX marketing of films being shown in its network and IMAX’s growing social media followership.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certain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with up to 67% more image.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Together, these components cause audiences in IMAX locations to feel as if they are a part of the on-screen action, creating a more intense, immersive, and awe-inspiring exciting experience than a conventional cinematic format.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a result of the engineering and scientific achievements that are a hallmark of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13"/>
        </w:rPr>
        <w:t>®</w:t>
      </w:r>
      <w:r>
        <w:rPr>
          <w:rFonts w:ascii="Times New Roman" w:hAnsi="Times New Roman"/>
          <w:color w:val="000000"/>
          <w:sz w:val="20"/>
        </w:rPr>
        <w:t xml:space="preserve">, the Company’s exhibitor customers typically charge a premium for films released in IMAX’s format versus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combined with IMAX’s unmatched global network footprint and scale has helped establish IMAX as a key premium distribution and marketing platform for Hollywood and foreign local language movie studios.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achieved its second highest grossing year at the global box office (“GBO”) and its highest grossing year at the Domestic, United States and Canada combined, box office in 2023. The year was highlighted by the Company’s highest grossing year for local language films, the $180.4 million in IMAX box office generated by Christopher Nolan’s </w:t>
      </w:r>
      <w:r>
        <w:rPr>
          <w:rFonts w:ascii="Times New Roman" w:hAnsi="Times New Roman"/>
          <w:i/>
          <w:color w:val="000000"/>
          <w:sz w:val="20"/>
        </w:rPr>
        <w:t>Oppenheimer</w:t>
      </w:r>
      <w:r>
        <w:rPr>
          <w:rFonts w:ascii="Times New Roman" w:hAnsi="Times New Roman"/>
          <w:color w:val="000000"/>
          <w:sz w:val="20"/>
        </w:rPr>
        <w:t>, and strong indexing across titles including S</w:t>
      </w:r>
      <w:r>
        <w:rPr>
          <w:rFonts w:ascii="Times New Roman" w:hAnsi="Times New Roman"/>
          <w:i/>
          <w:color w:val="000000"/>
          <w:sz w:val="20"/>
        </w:rPr>
        <w:t>uper Mario Bros., Guardians of the Galaxy Vol. 3, Spider-Man: Across the Spider-Verse</w:t>
      </w:r>
      <w:r>
        <w:rPr>
          <w:rFonts w:ascii="Times New Roman" w:hAnsi="Times New Roman"/>
          <w:color w:val="000000"/>
          <w:sz w:val="20"/>
        </w:rPr>
        <w:t xml:space="preserve">, and </w:t>
      </w:r>
      <w:r>
        <w:rPr>
          <w:rFonts w:ascii="Times New Roman" w:hAnsi="Times New Roman"/>
          <w:i/>
          <w:color w:val="000000"/>
          <w:sz w:val="20"/>
        </w:rPr>
        <w:t>Mission Impossible: Dead Reckoning.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cornerstone of the IMAX brand for more than 50 years, IMAX recently relaunched its IMAX Documentaries unit to focus on a new generation of narrative-driven original and acquired documentary films, as well as downstream revenue opportunities through partnerships with leading streaming platforms. Additional forthcoming IMAX original documentaries include </w:t>
      </w:r>
      <w:r>
        <w:rPr>
          <w:rFonts w:ascii="Times New Roman" w:hAnsi="Times New Roman"/>
          <w:i/>
          <w:color w:val="000000"/>
          <w:sz w:val="20"/>
        </w:rPr>
        <w:t>The Blue Angels</w:t>
      </w:r>
      <w:r>
        <w:rPr>
          <w:rFonts w:ascii="Times New Roman" w:hAnsi="Times New Roman"/>
          <w:color w:val="000000"/>
          <w:sz w:val="20"/>
        </w:rPr>
        <w:t xml:space="preserve"> and </w:t>
      </w:r>
      <w:r>
        <w:rPr>
          <w:rFonts w:ascii="Times New Roman" w:hAnsi="Times New Roman"/>
          <w:i/>
          <w:color w:val="000000"/>
          <w:sz w:val="20"/>
        </w:rPr>
        <w:t>The Elephant Odyssey</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The Company also continues to evolve its platform to bring new, innovative events and experiences to audiences worldwide. During the year, the Company partnered with A24 for the IMAX Live</w:t>
      </w:r>
      <w:r>
        <w:rPr>
          <w:rFonts w:ascii="Times New Roman" w:hAnsi="Times New Roman"/>
          <w:color w:val="000000"/>
          <w:sz w:val="13"/>
        </w:rPr>
        <w:t>TM</w:t>
      </w:r>
      <w:r>
        <w:rPr>
          <w:rFonts w:ascii="Times New Roman" w:hAnsi="Times New Roman"/>
          <w:color w:val="000000"/>
          <w:sz w:val="20"/>
        </w:rPr>
        <w:t xml:space="preserve"> 40</w:t>
      </w:r>
      <w:r>
        <w:rPr>
          <w:rFonts w:ascii="Times New Roman" w:hAnsi="Times New Roman"/>
          <w:color w:val="000000"/>
          <w:sz w:val="13"/>
        </w:rPr>
        <w:t>th</w:t>
      </w:r>
      <w:r>
        <w:rPr>
          <w:rFonts w:ascii="Times New Roman" w:hAnsi="Times New Roman"/>
          <w:color w:val="000000"/>
          <w:sz w:val="20"/>
        </w:rPr>
        <w:t xml:space="preserve"> anniversary screening of Jonathan Demme’s </w:t>
      </w:r>
      <w:r>
        <w:rPr>
          <w:rFonts w:ascii="Times New Roman" w:hAnsi="Times New Roman"/>
          <w:i/>
          <w:color w:val="000000"/>
          <w:sz w:val="20"/>
        </w:rPr>
        <w:t>Stop Making Sense</w:t>
      </w:r>
      <w:r>
        <w:rPr>
          <w:rFonts w:ascii="Times New Roman" w:hAnsi="Times New Roman"/>
          <w:color w:val="000000"/>
          <w:sz w:val="20"/>
        </w:rPr>
        <w:t xml:space="preserve"> at the Toronto International Film Festival, which became the highest grossing IMAX Live event of all time. In January 2024, the Company and Pathé Live in partnership with Mercury Studios and Queen Films released </w:t>
      </w:r>
      <w:r>
        <w:rPr>
          <w:rFonts w:ascii="Times New Roman" w:hAnsi="Times New Roman"/>
          <w:i/>
          <w:color w:val="000000"/>
          <w:sz w:val="20"/>
        </w:rPr>
        <w:t>Queen Rock Montreal</w:t>
      </w:r>
      <w:r>
        <w:rPr>
          <w:rFonts w:ascii="Times New Roman" w:hAnsi="Times New Roman"/>
          <w:color w:val="000000"/>
          <w:sz w:val="20"/>
        </w:rPr>
        <w:t xml:space="preserve">, a concert from 1981, exclusively in 450 IMAX locations globally.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has a footprint of 252 connected locations in the IMAX network across North America, Europe, and Asia were configured with connectivity to deliver live and interactive content with low latency and superior sight and sound. For more information on the Company’s content, see section “FILM DISTRIBUTION AND POST-PRODUCTION”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premier global technology platform for entertainment and events, the Company strives to remain at the forefront of advancements in entertainment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pStyle w:val="TextBody"/>
        <w:bidi w:val="0"/>
        <w:spacing w:before="200" w:after="283"/>
        <w:jc w:val="both"/>
        <w:rPr>
          <w:rFonts w:ascii="Times New Roman" w:hAnsi="Times New Roman"/>
          <w:sz w:val="20"/>
        </w:rPr>
      </w:pPr>
      <w:r>
        <w:rPr>
          <w:rFonts w:ascii="Times New Roman" w:hAnsi="Times New Roman"/>
          <w:color w:val="000000"/>
          <w:sz w:val="20"/>
        </w:rPr>
        <w:t>In September 2022, the Company acquired SSIMWAVE Inc. (“SSIMWAVE”), a leader in artificial intelligence (“AI”)-driven video quality solutions for media and entertainment companies. The acquisition of SSIMWAVE marks a significant expansion of the Company’s streaming and consumer technology strategy to deliver the highest quality images on any screen, while also creating cost efficiencies to streaming companies, broadcasters and other companies that transmit visual data — to drive new, recurring revenue and grow its global leadership in entertainment technology. In 2023, the Company formed a new business unit, Streaming and Consumer Technology to focus on in-home entertainment technology. The business unit includes the streaming technology acquired in the SSIMWAVE acquisition as well as IMAX Enhanced</w:t>
      </w:r>
      <w:r>
        <w:rPr>
          <w:rFonts w:ascii="Times New Roman" w:hAnsi="Times New Roman"/>
          <w:color w:val="000000"/>
          <w:sz w:val="13"/>
        </w:rPr>
        <w:t>®</w:t>
      </w:r>
      <w:r>
        <w:rPr>
          <w:rFonts w:ascii="Times New Roman" w:hAnsi="Times New Roman"/>
          <w:color w:val="000000"/>
          <w:sz w:val="20"/>
        </w:rPr>
        <w:t xml:space="preserve"> product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utilizes AI for image enhancement, streaming technology, and data analysis to improve various aspects of its business. It is actively exploring other global use cases for AI to improve its products, operations, and efficiency.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IMAX NETWORK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IMAX network is the most extensive premium network in the world with 1,772 IMAX Systems operating in 90 countries and territories, including 1,693 commercial multiplexes, 12 commercial destinations and 67 institutional locations as of December 31, 2023. The Company currently estimates a worldwide commercial multiplex addressable market of 3,619 locations, of which there are 1,693 IMAX Systems operating as of December 31, 2023, representing a market penetration of only 46.8%.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grew its network by 3.7% in 2023 driven by 128 system installations and ended the year with a backlog of 450 IMAX Systems. The Company believes that the majority of its future network growth will come from international markets outside of China. As of December 31, 2023,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Company’s revenue generated from its Greater China (which includes the mainland of the People’s Republic of China, Hong Kong, Macau, and Taiwan) operations represents 25% of consolidated revenue, compared to 24% in 2022 and 44% in 2021. Restrictions resulting from the COVID-19 pandemic significantly impacted operations in China in 2022 and 2023. As of December 31, 2023, the Company had 807 IMAX Systems operating in Greater China with an additional 206 systems in backlog. The Company’s backlog in Greater China represents 46% of its total current backlog, including system upgrades. The Company has a partnership in China with Wanda Film (“Wanda”) and as of December 31, 2023, through the Company’s partnership with Wanda, there were 376 IMAX Systems operational in Greater China, of which 362 are under the parties’ joint revenue sharing arrangements. In December 2023, Beijing Wanda Investment, which owns a 20% stake in Wanda Film Holding, was sold to China Ruyi Holdings, a Tencent Holdings-backed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(Refer to “Risk Factors – The Company conducts business internationally, which exposes it to uncertainties and risks that could negatively affect its operations, sales and future growth prospects”, “– The Company faces risks in connection with its significant presence in China and the continued expansion of its business there”, “– General political, social and economic conditions can affect the Company’s business by reducing both revenues generated from existing IMAX Systems and the demand for new IMAX Systems”, and “– The Company may not convert all of its backlog into revenue and cash flows” in Part I, Item 1A.) </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PRINCIPAL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believes it is the world’s largest designer and manufacturer of specialty premium projection and sound system components for premium large-format theaters around the world, and it is also a significant distributor of large-format films.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principal products and services are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IMAX Film Remastering – The digital remastering of films and other content into IMAX formats for distribution to the IMAX network.</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Film Distribution and Post-Production – The distribution of large-format documentary films, primarily to institutional theaters, and, increasingly, the distribution of exclusive IMAX events and experiences including music, gaming, and sports, as well as the provision of film post-production services.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IMAX Systems – The sale or lease of premium IMAX Systems to exhibitor customers.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IMAX Maintenance – The provision of preventative and emergency maintenance services and quality monitoring to the IMAX network.</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 Principally includes the Company’s streaming and consumer technology business, including its streaming technology and IMAX Enhanced product services, as well as other ancillary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assesses and evaluates the Company’s performance based on the operating results of the Content Solutions and Technology Products and Services segments, which largely reflect the different customer bases the Company serves. The Content Solutions segment principally focuses on content enhancement and distribution services for the Company’s movie studio customers. The Technology Products and Services segment primarily consists of products and services for the Company’s exhibitor customers, including the sale, lease and ongoing service of IMAX Systems. The Company’s segment information is provided in Part II, Item 7, Management’s Discussion and Analysis of Financial Condition and Results of Operations and Note 21 to Consolidated Financial Statements in Part II, Item 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IMAX FILM REMASTERING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IMAX Film Remastering is a proprietary technology that digitally remasters films into IMAX formats. IMAX Film Remastering digitally enhances the image resolution of films for projection on IMAX screens while maintaining or enhancing the visual clarity and sound quality to levels for which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20"/>
        </w:rPr>
        <w:t xml:space="preserve"> is known. In addition, the original soundtrack of a film to be exhibited across the IMAX network is remastered for IMAX digital sound systems. IMAX remastered soundtracks are uncompressed and full fidelity. IMAX sound systems use proprietary loudspeaker systems and proprietary surround sound configurations that ensure every seat in an auditorium is an optimal listening position.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IMAX Film Remastering process involves: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certain instances, scanning, at the highest possible resolution, each individual frame of the film and converting it into a digital image;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optimizing the image using proprietary image enhancement tools;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enhancing the digital image using techniques such as sharpening, color correction, grain and noise removal and the elimination of unsteadiness and removal of unwanted artifacts;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recording the enhanced digital image into an IMAX digital cinema package format or onto IMAX 15/70-format film;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specially remastering the soundtrack to take full advantage of the unique sound system of IMAX Systems.</w:t>
      </w:r>
    </w:p>
    <w:p>
      <w:pPr>
        <w:pStyle w:val="TextBody"/>
        <w:bidi w:val="0"/>
        <w:spacing w:before="200" w:after="283"/>
        <w:jc w:val="both"/>
        <w:rPr>
          <w:rFonts w:ascii="Times New Roman" w:hAnsi="Times New Roman"/>
          <w:sz w:val="20"/>
        </w:rPr>
      </w:pPr>
      <w:r>
        <w:rPr>
          <w:rFonts w:ascii="Times New Roman" w:hAnsi="Times New Roman"/>
          <w:color w:val="000000"/>
          <w:sz w:val="20"/>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screen. In select IMAX locations worldwide, movies filmed with IMAX cameras have an IMAX-exclusive 1.43 film aspect ratio, with up to 67% more image. The Company has a Filmed For IMAX</w:t>
      </w:r>
      <w:r>
        <w:rPr>
          <w:rFonts w:ascii="Times New Roman" w:hAnsi="Times New Roman"/>
          <w:color w:val="000000"/>
          <w:sz w:val="13"/>
        </w:rPr>
        <w:t>®</w:t>
      </w:r>
      <w:r>
        <w:rPr>
          <w:rFonts w:ascii="Times New Roman" w:hAnsi="Times New Roman"/>
          <w:color w:val="000000"/>
          <w:sz w:val="20"/>
        </w:rPr>
        <w:t xml:space="preserve"> program under which filmmakers craft films from their inception in various ways in order to optimize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20"/>
        </w:rPr>
        <w:t xml:space="preserve">. The program includes incremental and bespoke marketing support, which box office metrics demonstrate audiences respond extremely favorably to, and drives higher market share for IMAX.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believes that growth in international box office remains an important driver of growth for the Company. To support continued growth in international markets, the Company is focused on the expansion of the IMAX network and has sought to bolster its international film strategy, supplementing its slate of Hollywood films with appealing local language films released in select markets, including China, Japan, India, and South Korea.</w:t>
      </w:r>
    </w:p>
    <w:p>
      <w:pPr>
        <w:pStyle w:val="TextBody"/>
        <w:bidi w:val="0"/>
        <w:spacing w:before="20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detailed information about the films that were released to the Company’s global network during the years ended December 31, 2023 and 2022:</w:t>
      </w:r>
    </w:p>
    <w:tbl>
      <w:tblPr>
        <w:tblW w:w="6374" w:type="dxa"/>
        <w:jc w:val="left"/>
        <w:tblInd w:w="0" w:type="dxa"/>
        <w:tblLayout w:type="fixed"/>
        <w:tblCellMar>
          <w:top w:w="28" w:type="dxa"/>
          <w:left w:w="28" w:type="dxa"/>
          <w:bottom w:w="28" w:type="dxa"/>
          <w:right w:w="28" w:type="dxa"/>
        </w:tblCellMar>
      </w:tblPr>
      <w:tblGrid>
        <w:gridCol w:w="2951"/>
        <w:gridCol w:w="246"/>
        <w:gridCol w:w="146"/>
        <w:gridCol w:w="302"/>
        <w:gridCol w:w="716"/>
        <w:gridCol w:w="302"/>
        <w:gridCol w:w="302"/>
        <w:gridCol w:w="302"/>
        <w:gridCol w:w="716"/>
        <w:gridCol w:w="391"/>
      </w:tblGrid>
      <w:tr>
        <w:trPr/>
        <w:tc>
          <w:tcPr>
            <w:tcW w:w="29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29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left"/>
              <w:rPr/>
            </w:pPr>
            <w:r>
              <w:rPr/>
              <w:t> </w:t>
            </w:r>
          </w:p>
        </w:tc>
        <w:tc>
          <w:tcPr>
            <w:tcW w:w="101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Hollywood film releases</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language film releases:</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China</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Japan</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 Korea</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India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France</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Malaysia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Thailand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Indonesia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local language film releases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film releases</w:t>
            </w:r>
            <w:r>
              <w:rPr>
                <w:rFonts w:ascii="Times New Roman" w:hAnsi="Times New Roman"/>
                <w:color w:val="000000"/>
                <w:sz w:val="13"/>
              </w:rPr>
              <w:t>(2)(3)</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one re-released film for the year ended December 31, 2023 (2022 — five).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films released to the Company’s global network include 10 with IMAX DNA (2022 — 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Excludes three Alternative Content Experiences in 2023 (2022 — seven).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To date, in 2024, 18 titles have been released to the global IMAX network, including three re-releases, and the Company has announced the following additional 24 titles to be released in 2024:</w:t>
      </w:r>
    </w:p>
    <w:tbl>
      <w:tblPr>
        <w:tblW w:w="9217" w:type="dxa"/>
        <w:jc w:val="left"/>
        <w:tblInd w:w="0" w:type="dxa"/>
        <w:tblLayout w:type="fixed"/>
        <w:tblCellMar>
          <w:top w:w="28" w:type="dxa"/>
          <w:left w:w="28" w:type="dxa"/>
          <w:bottom w:w="28" w:type="dxa"/>
          <w:right w:w="28" w:type="dxa"/>
        </w:tblCellMar>
      </w:tblPr>
      <w:tblGrid>
        <w:gridCol w:w="2656"/>
        <w:gridCol w:w="146"/>
        <w:gridCol w:w="3376"/>
        <w:gridCol w:w="146"/>
        <w:gridCol w:w="1261"/>
        <w:gridCol w:w="146"/>
        <w:gridCol w:w="148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Studio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Release Date</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IMAX DNA</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Dune: Part II</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Pictures/Legendary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Kung Fu Panda 4</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Ghostbusters: Frozen Empire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Godzilla x Kong: The New Empire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Pictures/Legendary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Civil War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A24</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Spy x Family Code:White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Pictures/Crunchyroll</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The Fall Guy</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Kingdom of The Planet of The Apes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Furiosa</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Bad Boys 4</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Inside Out 2</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Studios/Pixar Animation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 Quiet Place: Day One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Despicable Me 4</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Twisters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Pictures/Warner Bros.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Deadpool &amp; Wolverine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Marvel Studios/Walt Disney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Alien: Romulus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Kraven the Hunter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Pictures/Marvel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Beetlejuice 2</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Transformers One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Wolfs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Pictures/Apple</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Joker: Folie à Deux</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Pictures/DC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October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Venom 3</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Untitled Gladiator Sequel</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Wicked – Part 1</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scheduled release dates in the table above are subject to change, may vary by territory, and may not reflect the date(s) of limited premiere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FILM DISTRIBUTION AND POST-PRODUCTION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continues to believe that the IMAX network serves as a valuable platform to launch and distribute original content. The Company distributes large-format documentary films, primarily to institutional customers. The Company receives as its distribution fee either a fixed amount or a fixed percentage of the box office receipts and, following the recoupment of its costs, is typically entitled to receive an additional percentage of gross revenues as participation revenues.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ownership rights to such films may be held by the film sponsors, the film investors and/or the Company. As of December 31, 2023, the Company has distribution rights with respect to approximately 60 films, which cover subjects such as space, wildlife, music, sports, history and natural wonders.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2023, the Company announced that Amazon Studios acquired worldwide rights to the Company’s original documentary, </w:t>
      </w:r>
      <w:r>
        <w:rPr>
          <w:rFonts w:ascii="Times New Roman" w:hAnsi="Times New Roman"/>
          <w:i/>
          <w:color w:val="000000"/>
          <w:sz w:val="20"/>
        </w:rPr>
        <w:t>The Blue Angels</w:t>
      </w:r>
      <w:r>
        <w:rPr>
          <w:rFonts w:ascii="Times New Roman" w:hAnsi="Times New Roman"/>
          <w:color w:val="000000"/>
          <w:sz w:val="20"/>
        </w:rPr>
        <w:t xml:space="preserve">, filmed with IMAX digital certified cameras and produced in collaboration with Dolphin Entertainment, Bad Robot Productions, and Zipper Bros Films. The documentary is expected to be delivered in the second quarter of 2024. In October 2023, </w:t>
      </w:r>
      <w:r>
        <w:rPr>
          <w:rFonts w:ascii="Times New Roman" w:hAnsi="Times New Roman"/>
          <w:i/>
          <w:color w:val="000000"/>
          <w:sz w:val="20"/>
        </w:rPr>
        <w:t>Deep Sky</w:t>
      </w:r>
      <w:r>
        <w:rPr>
          <w:rFonts w:ascii="Times New Roman" w:hAnsi="Times New Roman"/>
          <w:color w:val="000000"/>
          <w:sz w:val="20"/>
        </w:rPr>
        <w:t xml:space="preserve">, a documentary on NASA’s Webb Telescope in collaboration with Crazy Boat Pictures Ltd. and filmmaker Nathaniel Kahn, was released to the IMAX network. In July 2023, the Company also announced the start of production of </w:t>
      </w:r>
      <w:r>
        <w:rPr>
          <w:rFonts w:ascii="Times New Roman" w:hAnsi="Times New Roman"/>
          <w:i/>
          <w:color w:val="000000"/>
          <w:sz w:val="20"/>
        </w:rPr>
        <w:t xml:space="preserve">The Elephant Odyssey, </w:t>
      </w:r>
      <w:r>
        <w:rPr>
          <w:rFonts w:ascii="Times New Roman" w:hAnsi="Times New Roman"/>
          <w:color w:val="000000"/>
          <w:sz w:val="20"/>
        </w:rPr>
        <w:t xml:space="preserve">a documentary in collaboration with Beach House Pictures Pte Ltd and China International Communications Group, which is expected to be released in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continues to evolve its platform to bring new, innovative IMAX events and experiences to audiences worldwide. As of December 31, 2023, the Company has a footprint of 252 connected locations in the IMAX network across the United States, Canada, Europe, and Asia configured with connectivity to deliver live, interactive content with low latency and superior sight and sound.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2023, the Company partnered with Metro-Goldwyn-Studios Inc. (“MGM”) for an IMAX premiere event, consisting of red carpet interviews and behind the scenes footage, followed by a special advanced screening of </w:t>
      </w:r>
      <w:r>
        <w:rPr>
          <w:rFonts w:ascii="Times New Roman" w:hAnsi="Times New Roman"/>
          <w:i/>
          <w:color w:val="000000"/>
          <w:sz w:val="20"/>
        </w:rPr>
        <w:t>Creed III</w:t>
      </w:r>
      <w:r>
        <w:rPr>
          <w:rFonts w:ascii="Times New Roman" w:hAnsi="Times New Roman"/>
          <w:color w:val="000000"/>
          <w:sz w:val="20"/>
        </w:rPr>
        <w:t xml:space="preserve">, which was released across the IMAX global network. The Company also hosted a reunion of the iconic band Talking Heads at the Toronto International Film Festival, followed by a screening of </w:t>
      </w:r>
      <w:r>
        <w:rPr>
          <w:rFonts w:ascii="Times New Roman" w:hAnsi="Times New Roman"/>
          <w:i/>
          <w:color w:val="000000"/>
          <w:sz w:val="20"/>
        </w:rPr>
        <w:t>Stop Making Sense</w:t>
      </w:r>
      <w:r>
        <w:rPr>
          <w:rFonts w:ascii="Times New Roman" w:hAnsi="Times New Roman"/>
          <w:color w:val="000000"/>
          <w:sz w:val="20"/>
        </w:rPr>
        <w:t xml:space="preserve">, before the movie was released to the IMAX network more broadly. This became the highest grossing IMAX Live event of all time. These events were broadcast live to much of the IMAX Domestic connected network. In January 2024, the Company and Pathé Live in partnership with Mercury Studios and Queen Films released </w:t>
      </w:r>
      <w:r>
        <w:rPr>
          <w:rFonts w:ascii="Times New Roman" w:hAnsi="Times New Roman"/>
          <w:i/>
          <w:color w:val="000000"/>
          <w:sz w:val="20"/>
        </w:rPr>
        <w:t>Queen Rock Montreal</w:t>
      </w:r>
      <w:r>
        <w:rPr>
          <w:rFonts w:ascii="Times New Roman" w:hAnsi="Times New Roman"/>
          <w:color w:val="000000"/>
          <w:sz w:val="20"/>
        </w:rPr>
        <w:t>, a concert film from 1981, exclusively in 450 IMAX locations globally.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provides film post-production and quality control services for large-format films, whether produced by IMAX or third-parties, and digital post-production services. In addition, the Company also provides IMAX film and digital cameras to content creators under the IMAX certified camera program.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primary products are its various digital projection systems, which are either sold or leased to exhibitor customers along with a license for the use of the globally recognized IMAX brand. The Company’s digital projection systems include a projector that offers superior image quality and stability and a digital theater control system; a digital audio system delivering up to 12,000 watts of sound; a screen with a proprietary coating technology, and, in certain situations, 3D glasses and cleaning equipment. IMAX’s digital projection systems also operate without the need for analog film prints. The Company’s digital projection systems provide a premium and differentiated experience to audiences that is consistent with what they have come to expect from the IMAX brand, while providing exhibitor customers with the compelling economics and flexibility that digital technology affords.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arrangement to sell or lease an IMAX System, the Company provides extensive advice on auditorium planning and design, and supervision of installation services. The terms of each sale or lease arrangement vary according to the configuration of the IMAX System, as well as the cinema and film distribution markets relevant to the geographic location of the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from the sale or lease of an IMAX System may be recognized at a different time from when cash is collected from the exhibitor customer. Further discussion of the Company’s revenue recognition policies is provided in Critical Accounting Estimates in Part II, Item 7 and Note 2(o) to Consolidated Financial Statements in Part II, Item 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number of IMAX Systems that are in the network and in backlog, by configuration, as of December 31, 2023 and 2022:</w:t>
      </w:r>
    </w:p>
    <w:tbl>
      <w:tblPr>
        <w:tblW w:w="8336" w:type="dxa"/>
        <w:jc w:val="left"/>
        <w:tblInd w:w="0" w:type="dxa"/>
        <w:tblLayout w:type="fixed"/>
        <w:tblCellMar>
          <w:top w:w="28" w:type="dxa"/>
          <w:left w:w="28" w:type="dxa"/>
          <w:bottom w:w="28" w:type="dxa"/>
          <w:right w:w="28" w:type="dxa"/>
        </w:tblCellMar>
      </w:tblPr>
      <w:tblGrid>
        <w:gridCol w:w="1921"/>
        <w:gridCol w:w="146"/>
        <w:gridCol w:w="149"/>
        <w:gridCol w:w="587"/>
        <w:gridCol w:w="146"/>
        <w:gridCol w:w="146"/>
        <w:gridCol w:w="177"/>
        <w:gridCol w:w="514"/>
        <w:gridCol w:w="146"/>
        <w:gridCol w:w="146"/>
        <w:gridCol w:w="218"/>
        <w:gridCol w:w="518"/>
        <w:gridCol w:w="146"/>
        <w:gridCol w:w="146"/>
        <w:gridCol w:w="146"/>
        <w:gridCol w:w="149"/>
        <w:gridCol w:w="587"/>
        <w:gridCol w:w="146"/>
        <w:gridCol w:w="146"/>
        <w:gridCol w:w="177"/>
        <w:gridCol w:w="514"/>
        <w:gridCol w:w="146"/>
        <w:gridCol w:w="146"/>
        <w:gridCol w:w="218"/>
        <w:gridCol w:w="518"/>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Network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Network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IMAX Laser Systems</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IMAX Xenon Systems</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IMAX Film Systems</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i/>
          <w:color w:val="000000"/>
          <w:sz w:val="20"/>
        </w:rPr>
        <w:t>IMAX Laser Systems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2014, the Company introduced its first laser-based digital projection system. Since then, the Company has continued research and development aimed at creating more affordable laser-based solutions with various screen sizes for its commercial multiplex customers. Beginning in 2021, the Company began offering an additional laser-based system product to provide customers with an opportunity to replace and upgrade IMAX Xenon Systems. The Company currently sells two different configurations of its laser systems. The Company believes that IMAX Laser Systems present greater brightness and clarity, higher contrast, a wider color gamut and deeper blacks, consume less power and last longer than other digital projection technologies, and are capable of illuminating the largest screens in the IMAX network.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Xenon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2008, the Company introduced its digital IMAX Xenon System. Prior to 2008, all of the IMAX Systems offered by the Company were film-based and required analog film prints. The Company believes that IMAX Xenon Systems deliver higher quality imagery when compared with IMAX Film Systems.</w:t>
      </w:r>
    </w:p>
    <w:p>
      <w:pPr>
        <w:pStyle w:val="TextBody"/>
        <w:bidi w:val="0"/>
        <w:spacing w:before="200" w:after="283"/>
        <w:jc w:val="both"/>
        <w:rPr>
          <w:rFonts w:ascii="Times New Roman" w:hAnsi="Times New Roman"/>
          <w:sz w:val="20"/>
        </w:rPr>
      </w:pPr>
      <w:r>
        <w:rPr>
          <w:rFonts w:ascii="Times New Roman" w:hAnsi="Times New Roman"/>
          <w:i/>
          <w:color w:val="000000"/>
          <w:sz w:val="20"/>
        </w:rPr>
        <w:t>IMAX Film Systems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IMAX Film Systems include various configurations, including 2D and 3D systems, and screen sizes. Following the introduction of the digital IMAX Xenon System in 2008, the number of IMAX Film Systems in the IMAX network has decreased significantly. However, IMAX’s proprietary format, the IMAX 70mm Film System continues to be a sought after IMAX viewing experience. The existing network of 30 unique locations are being actively supported and leveraged for special event releases throughout the year such as with the 2023 release of </w:t>
      </w:r>
      <w:r>
        <w:rPr>
          <w:rFonts w:ascii="Times New Roman" w:hAnsi="Times New Roman"/>
          <w:i/>
          <w:color w:val="000000"/>
          <w:sz w:val="20"/>
        </w:rPr>
        <w:t>Oppenheimer</w:t>
      </w:r>
      <w:r>
        <w:rPr>
          <w:rFonts w:ascii="Times New Roman" w:hAnsi="Times New Roman"/>
          <w:color w:val="000000"/>
          <w:sz w:val="20"/>
        </w:rPr>
        <w:t xml:space="preserve"> in IMAX 70mm film, which garnered significant consumer interest and demand for this format</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information about the Company’s system backlog by deal type as of December 31, 2023 and 2022:</w:t>
      </w:r>
    </w:p>
    <w:tbl>
      <w:tblPr>
        <w:tblW w:w="10709" w:type="dxa"/>
        <w:jc w:val="left"/>
        <w:tblInd w:w="0" w:type="dxa"/>
        <w:tblLayout w:type="fixed"/>
        <w:tblCellMar>
          <w:top w:w="28" w:type="dxa"/>
          <w:left w:w="28" w:type="dxa"/>
          <w:bottom w:w="28" w:type="dxa"/>
          <w:right w:w="28" w:type="dxa"/>
        </w:tblCellMar>
      </w:tblPr>
      <w:tblGrid>
        <w:gridCol w:w="1276"/>
        <w:gridCol w:w="146"/>
        <w:gridCol w:w="146"/>
        <w:gridCol w:w="376"/>
        <w:gridCol w:w="146"/>
        <w:gridCol w:w="146"/>
        <w:gridCol w:w="146"/>
        <w:gridCol w:w="248"/>
        <w:gridCol w:w="488"/>
        <w:gridCol w:w="146"/>
        <w:gridCol w:w="146"/>
        <w:gridCol w:w="146"/>
        <w:gridCol w:w="196"/>
        <w:gridCol w:w="691"/>
        <w:gridCol w:w="146"/>
        <w:gridCol w:w="146"/>
        <w:gridCol w:w="146"/>
        <w:gridCol w:w="196"/>
        <w:gridCol w:w="601"/>
        <w:gridCol w:w="146"/>
        <w:gridCol w:w="146"/>
        <w:gridCol w:w="146"/>
        <w:gridCol w:w="146"/>
        <w:gridCol w:w="376"/>
        <w:gridCol w:w="146"/>
        <w:gridCol w:w="146"/>
        <w:gridCol w:w="146"/>
        <w:gridCol w:w="248"/>
        <w:gridCol w:w="488"/>
        <w:gridCol w:w="146"/>
        <w:gridCol w:w="146"/>
        <w:gridCol w:w="146"/>
        <w:gridCol w:w="196"/>
        <w:gridCol w:w="691"/>
        <w:gridCol w:w="146"/>
        <w:gridCol w:w="146"/>
        <w:gridCol w:w="146"/>
        <w:gridCol w:w="196"/>
        <w:gridCol w:w="601"/>
        <w:gridCol w:w="14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2" w:type="dxa"/>
            <w:gridSpan w:val="7"/>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2" w:type="dxa"/>
            <w:gridSpan w:val="7"/>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number of systems)</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Sales Arrangements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14,362</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Hybrid JRSA</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Traditional JRSA</w:t>
            </w:r>
            <w:r>
              <w:rPr>
                <w:rFonts w:ascii="Times New Roman" w:hAnsi="Times New Roman"/>
                <w:color w:val="000000"/>
                <w:sz w:val="12"/>
              </w:rPr>
              <w:t>(2)(3)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Sales, Hybrid Sales, and Sales-Type Lease deal types.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30 IMAX Systems (2022 ― 38)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Company’s backlog includes 14 systems (2022 ― 14) in Russia, one system (2022 ― 1) in Ukraine, and five systems (2022 ― 5) in Belarus with a total fixed contracted value of $22.9 million (2022 ― $22.9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IMAX Systems in which the Company has an equity interest, operating leases, and long-term conditional theater commitments. The Company believes that the contractual obligations for IMAX System installations that are listed in the backlog are valid and binding commitments.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 (Refer to “Risk Factors ― The Company may not convert all of its backlog into revenue and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the Company’s contracts contain options for the customer to elect to upgrade system type during the term or to alter the contract structure (for example, from a joint revenue sharing arrangement to a sale) after signing, but before installation. The current backlog information reflects all known elections.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IMAX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 (Refer to “Maintenance and Extended Warranty Services” below.)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PRODUCTS AND SERVICES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Streaming and Consumer Technology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Streaming and Consumer Technology includes the Company’s Streaming Technology software offerings and IMAX Enhanced product services. Streaming Technology consists of several software products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Stream Smart ― works within existing video compression workflows to reduce bitrates and retain picture quality across all devices and formats and deliver significant cost savings.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StreamAware On-Demand ― all-in-one quality assurance and quality control to automate and standardize checks for comprehensive content integrity and regulatory compliance for third-party content libraries, across an entire video compression workflow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StreamAware On-Air ― real-time monitoring software for live streams, which enables users to monitor video quality across their networks and to identify and address streaming issues.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AI-powered products allow streaming platforms and broadcasters to automate workflows. The Company believes that these products allow users to deliver the highest quality viewing experiences to their subscribers while reducing costs.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IMAX Enhanced is a solution to bring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 xml:space="preserve">Experience </w:t>
      </w:r>
      <w:r>
        <w:rPr>
          <w:rFonts w:ascii="Times New Roman" w:hAnsi="Times New Roman"/>
          <w:color w:val="000000"/>
          <w:sz w:val="20"/>
        </w:rPr>
        <w:t>into the home. IMAX Enhanced provides end-to-end premium technology across streaming content and best-in-class entertainment devices, offering consumers high-fidelity playback of image and sound in the home and beyond, including the following features: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IMAX’s expanded aspect ratio, which is available on select titles and streaming platforms, including Disney+;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IMAX’s proprietary remastering technology, which produces more vivid, higher-fidelity 4K HDR images on premium televisions;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IMAX’s signature sound, which was specially recreated and calibrated for the home to unlock more immersive audio.</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To </w:t>
      </w:r>
      <w:r>
        <w:rPr>
          <w:rFonts w:ascii="Times New Roman" w:hAnsi="Times New Roman"/>
          <w:color w:val="000000"/>
          <w:sz w:val="20"/>
        </w:rPr>
        <w:t>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specialists.</w:t>
      </w:r>
    </w:p>
    <w:p>
      <w:pPr>
        <w:pStyle w:val="TextBody"/>
        <w:bidi w:val="0"/>
        <w:spacing w:before="200" w:after="283"/>
        <w:jc w:val="both"/>
        <w:rPr>
          <w:rFonts w:ascii="Times New Roman" w:hAnsi="Times New Roman"/>
          <w:sz w:val="20"/>
        </w:rPr>
      </w:pPr>
      <w:r>
        <w:rPr>
          <w:rFonts w:ascii="Times New Roman" w:hAnsi="Times New Roman"/>
          <w:color w:val="000000"/>
          <w:sz w:val="20"/>
        </w:rPr>
        <w:t>At present, certified global device partners include Sony Electronics, Hisense, TCL, LG, Phillips, Hewlett Packard, Xiaomi, Sound United and Honor, among others. As of December 31, 2023, more than 300 IMAX Enhanced titles have been released across five of the biggest streaming platforms worldwide: Disney+, Sony Bravia CORE, Tencent Video, iQiyi and Rakuten TV. Over 15 million IMAX Enhanced certified devices are estimated to be in the market today</w:t>
      </w:r>
      <w:r>
        <w:rPr>
          <w:rFonts w:ascii="Times New Roman" w:hAnsi="Times New Roman"/>
          <w:color w:val="212529"/>
          <w:sz w:val="20"/>
        </w:rPr>
        <w:t>.</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The </w:t>
      </w:r>
      <w:r>
        <w:rPr>
          <w:rFonts w:ascii="Times New Roman" w:hAnsi="Times New Roman"/>
          <w:color w:val="000000"/>
          <w:sz w:val="20"/>
        </w:rPr>
        <w:t>Company’s collaboration with Disney allows fans to stream 20 Disney titles in IMAX’s expanded aspect ratio at home on Disney+. The presence of IMAX Enhanced on Disney+ provides strong brand exposure for IMAX by expanding the Company’s in-home entertainment footprint to Disney+ and most of its 150 million global subscribers. The Company believes that IMAX Enhanced enables an elevated end-to-end experience on Disney+, with IMAX signature sound coming to subscribers with IMAX Enhanced certified devices. IMAX Enhanced is part of the Company’s next evolutionary step to extend the IMAX brand and technology further into new use cases, including streaming entertainment and the consumer electronics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“Risk Factors ― Failure to respond adequately or in a timely fashion to changes and advancements in technology could negatively affect the Company’s business.”)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derives a small portion of its revenue from other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also offering production advice and technical assistance to both documentary and Hollywood filmmakers. </w:t>
      </w:r>
    </w:p>
    <w:p>
      <w:pPr>
        <w:pStyle w:val="TextBody"/>
        <w:bidi w:val="0"/>
        <w:spacing w:before="200" w:after="283"/>
        <w:jc w:val="both"/>
        <w:rPr>
          <w:rFonts w:ascii="Times New Roman" w:hAnsi="Times New Roman"/>
          <w:sz w:val="20"/>
        </w:rPr>
      </w:pPr>
      <w:r>
        <w:rPr>
          <w:rFonts w:ascii="Times New Roman" w:hAnsi="Times New Roman"/>
          <w:b/>
          <w:color w:val="000000"/>
          <w:sz w:val="20"/>
        </w:rPr>
        <w:t>MARKETING AND CUSTOMERS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markets IMAX Systems through a direct sales force and marketing staff located in offices in Canada, the United States, Greater China, Europe, and Asia. In addition, the Company has agreements with consultants, business brokers and real estate professionals to locate potential customers and system locations for the Company on a commission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currently estimates a worldwide commercial multiplex addressable market of 3,619 locations, of which there are 1,693 IMAX Systems operating as of December 31, 2023, representing a market penetration of only 46.8%. Commercial multiplex systems are the largest part of the IMAX network, comprising 1,693 IMAX Systems, or 96%, of the 1,772 IMAX Systems in the IMAX network as of December 31, 2023. The Company’s institutional customers include science and natural history museums, zoos, aquaria, and other educational and cultural centers. The Company also sells or leases IMAX Systems to commercial destinations such as theme parks, private home theaters, tourist destination sites, fairs, and expositions. As of December 31, 2023, approximately 75% of all open and operational IMAX Systems were in locations outside of the United States and Canada.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provides detailed information about the IMAX network by system type and geographic location as of December 31, 2023 and 2022:</w:t>
      </w:r>
    </w:p>
    <w:tbl>
      <w:tblPr>
        <w:tblW w:w="10913" w:type="dxa"/>
        <w:jc w:val="left"/>
        <w:tblInd w:w="0" w:type="dxa"/>
        <w:tblLayout w:type="fixed"/>
        <w:tblCellMar>
          <w:top w:w="28" w:type="dxa"/>
          <w:left w:w="28" w:type="dxa"/>
          <w:bottom w:w="28" w:type="dxa"/>
          <w:right w:w="28" w:type="dxa"/>
        </w:tblCellMar>
      </w:tblPr>
      <w:tblGrid>
        <w:gridCol w:w="1006"/>
        <w:gridCol w:w="146"/>
        <w:gridCol w:w="201"/>
        <w:gridCol w:w="790"/>
        <w:gridCol w:w="146"/>
        <w:gridCol w:w="146"/>
        <w:gridCol w:w="294"/>
        <w:gridCol w:w="697"/>
        <w:gridCol w:w="146"/>
        <w:gridCol w:w="146"/>
        <w:gridCol w:w="313"/>
        <w:gridCol w:w="678"/>
        <w:gridCol w:w="146"/>
        <w:gridCol w:w="146"/>
        <w:gridCol w:w="146"/>
        <w:gridCol w:w="571"/>
        <w:gridCol w:w="146"/>
        <w:gridCol w:w="146"/>
        <w:gridCol w:w="146"/>
        <w:gridCol w:w="201"/>
        <w:gridCol w:w="790"/>
        <w:gridCol w:w="146"/>
        <w:gridCol w:w="146"/>
        <w:gridCol w:w="294"/>
        <w:gridCol w:w="697"/>
        <w:gridCol w:w="146"/>
        <w:gridCol w:w="146"/>
        <w:gridCol w:w="313"/>
        <w:gridCol w:w="678"/>
        <w:gridCol w:w="146"/>
        <w:gridCol w:w="146"/>
        <w:gridCol w:w="146"/>
        <w:gridCol w:w="571"/>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Multiplex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Destination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Institutional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Multiplex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Destination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Institutional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Greater China</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Latin America</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Greater China includes China, Hong Kong, Taiwan, and Macau.</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Latin America includes South America, Central America, and Mexico.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Period-to-period changes in the table above are reported net of the effect of permanently closed locations.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partnership in China with Wanda which is its largest exhibitor customer. As of December 31, 2023, Wanda represented 22% of the Company’s commercial network, 4% of the Company’s backlog and 10% of its revenues. As of December 31, 2022, Wanda represented 23% of the Company’s commercial network, 4% of the Company’s backlog and 7% of its revenue. A geographic breakdown of the Company’s revenue is provided in Note 21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INDUSTRY OVERVIEW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out-of-home entertainment industry is very diverse with numerous companies vying for the public’s leisure time, and the Company faces competition as a consequence. Within the theatrical space, exhibitors and entertainment technology companies have introduced their own branded, large-screen 3D auditoriums or other proprietary theater systems, some of which include laser-based projectors, and in many cases, have marketed those auditoriums or theater systems as having similar quality or attributes to an IMAX System.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faces in-home competition from a number of alternative film distribution channels such as subscription streaming services, transactional video-on-demand (both rentals and sales), advertiser-supported video-on-demand, internet, and broadcast and cable television. The Company further competes for the public’s leisure time and disposable income with other forms of entertainment, including gaming, sporting events, concerts, live theater, social media, and restaurants. Furthermore, the Company may continue to face competition in the future from companies in the entertainment industry with new technologies and/or greater capital resources to develop and support them.</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believes that its competitive strengths include the value of the IMAX brand name, the premium IMAX consumer experience, the design, quality and historic reliability rate of IMAX Systems (including the IMAX Laser Systems as well as the IMAX immersive sound system, the return on investment of an IMAX System for exhibitors, the number and quality of IMAX films that it distributes, the tailored distribution and marketing support by dedicated teams around the world, the relationships the Company maintains with prominent Hollywood and international filmmakers and other content creators (a number of whom desire to film their movies and events with IMAX cameras), the availability of Hollywood and international films to the IMAX network through IMAX Film Remastering technology, the availability of unique and innovative events and experiences such as distributed concerts, special theatrical screenings, and live Q&amp;A sessions with top content creators, consumer loyalty and the level of the Company’s service and maintenance and extended warranty efforts. The Company believes that all of these alternative formats deliver overall experiences that are inferior to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20"/>
        </w:rPr>
        <w:t xml:space="preserve"> and do not have IMAX's brand trust, filmmaker endorsement, loyal fan base, or global footprint and scale.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Exhibitor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primary customers are commercial multiplex exhibitors. Since 2016, the commercial exhibition industry has undergone significant consolidation, including AMC Entertainment Holdings Inc.’s (“AMC”) acquisition of Carmike Cinemas and Odeon &amp; UCI Cinemas Group (“Odeon”), which includes Nordic Cinema Group (“Nordic”), and Cineworld Group plc's (“Cineworld”) acquisition of Regal Entertainment Group (“Regal”).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believes that the consolidation of the commercial exhibition industry has helped facilitate the growth of the IMAX network. The Company has historically enjoyed strong relationships with large commercial exhibitor chains, which have greater capital to purchase, lease or otherwise acquire IMAX Systems. As larger commercial chains such as AMC and Cineworld have purchased smaller chains, those smaller chains have in turn become part of the IMAX network. For instance, following AMC’s acquisition of Odeon and Nordic, the Company and AMC entered into an agreement for 25 new IMAX Systems across the Odeon and Nordic network. The Company believes that continued consolidation could facilitate further signings and other strategic benefits going forward.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However, exhibitor consolidation has also resulted in individual exhibitor chains constituting a material portion of the Company’s revenue and network. Continued industry consolidation, as well as consolidation in the movie studio industry, may present risks to the Company. (Refer to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THE IMAX BRAND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is a premier global technology platform for entertainment and events.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relies on its brand to communicate its leadership and singular goal of creating entertainment experiences that exceed all expectations. Top filmmakers, studios, and other content creators use the IMAX brand to message that a film will connect with audiences in unique and extraordinary ways.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has a Filmed for IMAX program through which filmmakers partner closely with IMAX to craft films that fully leverage IMAX technology and where every frame, from inception, is intentionally designed for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20"/>
        </w:rPr>
        <w:t>. Box office metrics demonstrate audiences respond extremely favorably to Filmed for IMAX titles.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capture content in a resolution appropriate for IMAX screens, filmmakers utilize IMAX 70mm film cameras or IMAX-certified best-in-class digital cameras with leading brands including ARRI, Panavision, RED Digital Cinema and Sony. When this content is paired with IMAX’s proprietary post-production process, the resulting craftsmanship enthralls fans in 1,700+ IMAX locations around the world.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IMAX brand is a promise to deliver what today’s audiences crave, which is a memorable, more emotionally engaging, more thrilling and shareable experience. </w:t>
      </w:r>
      <w:r>
        <w:rPr>
          <w:rFonts w:ascii="Times New Roman" w:hAnsi="Times New Roman"/>
          <w:color w:val="212121"/>
          <w:sz w:val="20"/>
        </w:rPr>
        <w:t>IMAX commissions on-going third party consumer research to measure the strength of its brand in numerous markets. The Company’s latest 2023 studies show that the IMAX brand has achieved near universal awareness, is uniquely recognized as a leading, ultra-premi</w:t>
      </w:r>
      <w:r>
        <w:rPr>
          <w:rFonts w:ascii="Times New Roman" w:hAnsi="Times New Roman"/>
          <w:color w:val="000000"/>
          <w:sz w:val="20"/>
        </w:rPr>
        <w:t xml:space="preserve">um brand, and offers one of the most differentiated movie-going experiences. The IMAX brand has also been proven to signal a special, must-see event at levels far greater than any other entertainment technology brand based on evidence. Across various measures of brand equity and health, the IMAX brand ranged from two to 10 times more powerful than other entertainment technology brands. The Company believes that its strong brand equity supports consumers’ predisposition to choose IMAX over competing brands and to pay a premium for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20"/>
        </w:rPr>
        <w:t xml:space="preserve"> now and into the future.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including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and 2022, 86 and 66 of the Company’s employees were connected with research and development projects, respectively. </w:t>
      </w:r>
    </w:p>
    <w:p>
      <w:pPr>
        <w:pStyle w:val="TextBody"/>
        <w:bidi w:val="0"/>
        <w:spacing w:before="200" w:after="283"/>
        <w:jc w:val="both"/>
        <w:rPr>
          <w:rFonts w:ascii="Times New Roman" w:hAnsi="Times New Roman"/>
          <w:sz w:val="20"/>
        </w:rPr>
      </w:pPr>
      <w:r>
        <w:rPr>
          <w:rFonts w:ascii="Times New Roman" w:hAnsi="Times New Roman"/>
          <w:b/>
          <w:color w:val="000000"/>
          <w:sz w:val="20"/>
        </w:rPr>
        <w:t>MANUFACTURING AND SERVICE</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Projector Component Manufacturing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assembles IMAX System projectors at its facility in Mississauga, Ontario, Canada (near Toronto). With a few exceptions, the Company develops and designs all of the key elements of the proprietary technology involved in this component. The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have had reliability rates based on scheduled shows of approximately 99%.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Sound System Component Manufacturing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develops, designs, and assembles the key elements of the theater sound system component. The standard IMAX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Screen and Other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purchases its screen components and glasses cleaning equipment from third parties. The standard screen system component consists of a projection screen manufactured to IMAX specifications and a frame to hang the projection screen. The proprietary glasses cleaning machine is a stand-alone unit that is connected to the theater’s water and electrical supply to automate the cleaning of 3D glasses.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Maintenance and Extended Warranty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provides ongoing maintenance and extended warranty services to IMAX Systems. These arrangements are usually for a separate fee, although the Company sometimes includes free service in the initial year of the arrangement. The maintenance and extended warranty arrangements include service, maintenance, and replacement parts for 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support the IMAX network, the Company has personnel stationed in major markets throughout the world who provide periodic and emergency maintenance and extended warranty services on existing IMAX Systems. The Company provides various levels of maintenance and warranty services, which are priced accordingly. Under full-service programs, Company personnel typically visit each IMAX location every six to twelve months to provide preventative maintenance, cleaning and inspection services and emergency visits to resolve problems and issues with the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 </w:t>
      </w:r>
    </w:p>
    <w:p>
      <w:pPr>
        <w:pStyle w:val="TextBody"/>
        <w:bidi w:val="0"/>
        <w:spacing w:before="200" w:after="283"/>
        <w:jc w:val="both"/>
        <w:rPr>
          <w:rFonts w:ascii="Times New Roman" w:hAnsi="Times New Roman"/>
          <w:sz w:val="20"/>
        </w:rPr>
      </w:pPr>
      <w:r>
        <w:rPr>
          <w:rFonts w:ascii="Times New Roman" w:hAnsi="Times New Roman"/>
          <w:b/>
          <w:color w:val="000000"/>
          <w:sz w:val="20"/>
        </w:rPr>
        <w:t>PATENTS AND TRADEMARKS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inventions cover various aspects of its proprietary technology and many of these inventions are protected by Letters of Patent or applications filed throughout the world, most significantly in the United States, Canada, China, Belgium, Japan, France, Germany, and the United Kingdom. The subject matter covered by these patents and applications includes auditorium design and geometry, audio and display technology, mechanisms employed in projectors and projection equipment (including 3D projection equipment), stereoscopic (3D) imaging, digitally re-mastering 35mm films into large-format, dynamic range and contrast of projectors, seaming or superimposing images from multiple projectors, and other inventions relating to imaging technology, digital projectors, laser projection, and video quality assessment. Included in the Company’s patent portfolio are more than 30 patents and patent families acquired from the Eastman Kodak Company covering laser projection technology. In addition, the Company acquired more than 15 patent families in connection with the acquisition of SSIMWAVE in September 2022. The Company has been and will continue to be diligent in the protection of its proprietary interests.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holds 92 patents, has 14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expire between 2024 and 2041.</w:t>
      </w:r>
    </w:p>
    <w:p>
      <w:pPr>
        <w:pStyle w:val="TextBody"/>
        <w:bidi w:val="0"/>
        <w:spacing w:before="200" w:after="283"/>
        <w:jc w:val="both"/>
        <w:rPr>
          <w:rFonts w:ascii="Times New Roman" w:hAnsi="Times New Roman"/>
          <w:sz w:val="20"/>
        </w:rPr>
      </w:pPr>
      <w:r>
        <w:rPr>
          <w:rFonts w:ascii="Times New Roman" w:hAnsi="Times New Roman"/>
          <w:color w:val="000000"/>
          <w:sz w:val="20"/>
        </w:rPr>
        <w:t>The Company owns or otherwise has rights to trademarks and trade names used in conjunction with the sale of its products, systems, and services. The following trademarks are considered significant in terms of the current and contemplated operations of the Company: IMAX, IMAX 3D, Experience It In IMAX</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20"/>
        </w:rPr>
        <w:t>, DMR, Filmed For IMAX, IMAX Live, IMAX Enhanced, and SSIMWAVE</w:t>
      </w:r>
      <w:r>
        <w:rPr>
          <w:rFonts w:ascii="Times New Roman" w:hAnsi="Times New Roman"/>
          <w:color w:val="000000"/>
          <w:sz w:val="13"/>
        </w:rPr>
        <w:t>®</w:t>
      </w:r>
      <w:r>
        <w:rPr>
          <w:rFonts w:ascii="Times New Roman" w:hAnsi="Times New Roman"/>
          <w:color w:val="000000"/>
          <w:sz w:val="20"/>
        </w:rPr>
        <w:t>. These trademarks are widely protected by registration or common law throughout the world.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HUMAN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believes that effective human capital management is critical to its success. The Company’s human capital management objectives are focused on attracting, engaging, and retaining exceptional talent who are passionate about IMAX’s business; and 2) fostering a work environment that unites diverse teams around its mission to connect the world through extraordinary experiences that inspire us to reimagine what’s possible together.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achieve these objectives, the Company’s people and culture strategy focuses on creating a compelling employee brand which attracts top talent to join the Company; engaging its employee base to maximize overall performance and enhance retention; offering a competitive total rewards program (the “Total Rewards Program”); developing and refining a diversity, equity, and inclusion (“DE&amp;I”) plan that is unique to its business; and continuing its focus on employee safety.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employed 697 people, of which approximately 69% were employed outside of the United States. The global workforce consists of approximately 96% full-time and 4% part-time employees. Some of the Company’s recent initiatives to achieve its’s human capital management objectives include the following: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Recruiting Talent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believes that a collaborative team of innovative employees from diverse backgrounds and experiences is essential to meet the demands of technology and creativity. Additionally, the Company has and will continue to provide DE&amp;I training for hiring managers to ensure the Company’s interview and hiring processes are fair and equitable. The Company’s outreach efforts include using global job boards, engaging with community associations and organizations, working with universities and colleges to build stronger partnerships, and maintaining relationships with IMAX alumni to proactively expand its sources of talent. The Company continues to implement technologies and solutions to support human capital management strategies and processes while supporting talent management for creative projects as it stays connected to the vision, foundation, and core of the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Engaging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created a comprehensive talent management plan to foster greater employee retention, engagement, and inclusivity. The plan includes incorporating the Company’s values of collaboration, belonging, and excellence in its culture into talent management by rolling out development programs to build manager and leader capabilities and enhancing the overall employee experience. The Company expects to implement the plan in 2024. For 2024, the Company has updated its performance management process and launched an employee training program to foster a high-performance and engaging work culture. For example, the performance management process includes a new mid-year talent review cycle to assess talent, understand the Company’s bench strength and gaps for succession planning and engagement strategies.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2024, the Company plans to deploy an employee engagement survey to gather feedback and insights on how to continue to make IMAX a great place to work.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Total Rewards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takes a holistic view of the Total Rewards Program, focusing on providing competitive compensation and benefits packages to attract, incentivize, and retain a talented, diverse, multi-generational workforce.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Rewards Program balances base compensation, incentive compensation for both short-term and long-term performance, and a focus on total well-being of the employee. The Company’s recent efforts to improve the Total Rewards Program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undertook a review of base compensation across various levels within the Company and established a career development path for employees in the technical domain.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introduced enhancements to its U.S. and Canadian benefits program in select regions, aiming to modernize its benefits offerings to better align with the needs of the Company’s employees. These modifications were informed by both employee feedback and market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Given the increased focus on mental health, in response to addressing the needs of the Company’s employees and their families, the Company enhanced its health and family-friendly benefits to provide mental health support and access to mental health practitioners to its employees.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supports new parents, including adoptive parents, through maternity and parental leave benefits. Furthermore, the Company has broadened its company-subsidized reimbursement program to cover camps, complementing emergency backup childcare, ongoing childcare, elder care, and pet care.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expanded its financial wellness offerings for U.S. employees, to include a subsidized membership for legal assistance.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Diversity, Equity, and Inclusion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2023, the Company continued its commitment to diversity, equity, and inclusion. The Company engaged its executive sponsorship committee to revise its DE&amp;I strategy, which focuses on the following areas: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Fostering a culture of engagement and inclusivity where employees feel a sense of understanding, acceptance, and belonging.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Implementing processes, policies, and practices that are fair and equitable.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Ensuring the diversity of the partners, filmmakers, and audiences IMAX serves are reflected through progressive recruiting and retention efforts.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Impacting the workplace and communities in which IMAX operates in a positive way.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women represented approximately 35% of the Company’s global workforce. The Company currently has three female directors (30%) and two directors who identify as ethnically diverse (20%) on its Board of Directors (the “Board”). There are four (25%) female members of the Company’s management team of 16 as well as four (25%) members of the Company’s management team who identify as ethnically diverse.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Employee Safety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Risks to the safety of employees are present in day-to-day office work, building renovation, manufacturing, logistics, training, testing, research, and development, and during the designing, installation, and servicing of IMAX Systems around the world. The Company has implemented a global program for workplace safety that ensures it has the necessary controls in place to keep its employees and visitors safe. Every employee is responsible for participating in workplace safety planning activities, and managers are responsible for employee safety program implementation within their business function. This effort is supported by a cross-functional team dedicated to employee health and safety and business continuity.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makes available, free of charge, its Annual Reports on Form 10-K, Quarterly Reports on Form 10-Q and Current Reports on Form 8-K, and any amendments to such reports, as soon as reasonably practicable after such filings have been made with the SEC. Reports may be obtained free of charge through the SEC’s website at www.sec.gov and through the Company’s website at www.imax.com or by calling the Company’s Investor Relations Department at 212-821-0154. No information included on the Company’s website shall be deemed included or otherwise incorporated into this Form 10-K, except where expressly indicated.</w:t>
      </w:r>
    </w:p>
    <w:p>
      <w:pPr>
        <w:pStyle w:val="TextBody"/>
        <w:bidi w:val="0"/>
        <w:spacing w:before="200" w:after="283"/>
        <w:jc w:val="both"/>
        <w:rPr>
          <w:rFonts w:ascii="Times New Roman" w:hAnsi="Times New Roman"/>
          <w:sz w:val="20"/>
        </w:rPr>
      </w:pPr>
      <w:bookmarkStart w:id="4" w:name="item_1a_risk_factors"/>
      <w:bookmarkEnd w:id="4"/>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you make an investment decision with respect to the Company’s common shares, you should carefully consider all of the information included in this Form 10-K and the Company’s subsequent periodic filings with the SEC. In particular, you should carefully consider the risk factors described below and the risks and uncertainties related to “Forward Looking Statements,” any of which could have a material adverse effect on the Company’s business, results of operations, financial condition and the actual outcome of matters as to which forward looking statements are made in this annual report. The following risk factors should be read in conjunction with the balance of this annual report, including the Consolidated Financial Statements and related notes. The risks described below are not the only ones the Company faces. Additional risks that the Company currently deems immaterial or that are currently unknown to the Company may also impair its business or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THE COMPANY’S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political, social and economic conditions can affect the Company’s business by reducing both revenues generated from existing IMAX Systems and the demand for new 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success depends in part on general political, social and economic conditions and the willingness of consumers to purchase tickets to the IMAX auditoriums. If movie-going becomes less popular globally, the Company’s business could be adversely affected, especially if such a decline occurs in Greater China. There remains uncertainty around whether and when movie-going will return to pre-COVID levels in various markets and there can be no assurance that the reduction in movie-going does not represent a permanent change in consumer behavior. The timing and extent of a recovery of consumer behavior and willingness to spend discretionary income on movie-going may delay the Company’s ability to generate significant revenue from GBO generated by its exhibitor customers in various markets. In addition, the Company’s operations could be adversely affected if consumers’ discretionary income globally or in a particular geography falls as a result of an economic downturn or recession, sustained inflationary conditions, high interest rates, supply chain issues, or otherwise. Such adverse impact on consumer’s discretionary income could result in a shift in consumer demand away from movie-going. The majority of the Company’s revenue is directly derived from the box office results of its exhibitor partners. Accordingly, a decline in attendance at commercial IMAX locations could materially and adversely affect several sources of key revenue streams for the Company. Sustained inflationary pressures observed globally could materially increase the cost of our goods, services and personnel, which could cause an increase in the Company's operating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depends on the sale, lease and installation of IMAX Systems to commercial theatrical exhibitors to generate revenue. Commercial theatrical exhibitors generate revenues from consumer attendance at their theaters, which depends on the willingness of consumers to visit movie theaters and spend discretionary income at movie theaters. In the event of declining box office and concession revenues, commercial exhibitors may be less willing to invest capital in IMAX Systems. In addition, a significant portion of systems in the Company’s backlog are expected to be installed in newly built multiplexes. An economic downturn, recession, significant increases in interest rates or other adverse economic developments could impact developers’ ability to secure financing on acceptable terms and complete the buildout of these locations, thereby negatively impacting the Company’s ability to install IMAX Systems, grow its theater network and collects its contractual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success of the IMAX network is directly related to the availability and success of the IMAX remastered films, and other films released to the IMAX network, as well as the continued purchase or lease of IMAX Systems and other support by theatrical exhibitors, for which there can be no guarantee.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important factor affecting the growth and success of the IMAX network is the availability and strategic selection of films for IMAX locations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In 2023, 95 new IMAX films were released to the Company’s global network. There is no guarantee that filmmakers and studios will continue to release films to the IMAX network, or that the films selected for release to the IMAX network will be commercially successful.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network. For example, the Writers Guild of America and the Screen Actors Guild – American Federation of Television and Radio Artists went on strike in May and July 2023, respectively, over labor disputes with the Alliance Motion Picture and Television Producers. Although these strikes ended in late 2023, they have and may result in further changes in film productions, release, and promotion schedules and plans, which may adversely impact the Company’s revenues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the Company’s international network has expanded, the Company has signed deals with studios in other countries to convert their films to the Company’s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depends principally on commercial theatrical exhibitors to purchase or lease IMAX Systems, to supply box office revenue under joint revenue sharing arrangements and under its sale and sales-type lease agreements and to supply venues in which to exhibit IMAX films. The Company is unable to predict the pace at which exhibitors will purchase or lease IMAX Systems or enter into joint revenue sharing arrangements with the Company, or whether any of the Company’s existing exhibitor customers will continue to do any of the foregoing. If exhibitors choose to reduce their levels of presence or expansion, negotiate economic terms that are less favorable to the Company, or decide not to enter into transactions with the Company, the Company’s revenues would not increase at an anticipated rate and motion picture studios may be less willing to convert their films into the Company’s format for exhibition in commercial IMAX locations. As a result, the Company’s future revenues and cash flows could be adversely affected. </w:t>
      </w:r>
    </w:p>
    <w:p>
      <w:pPr>
        <w:pStyle w:val="TextBody"/>
        <w:bidi w:val="0"/>
        <w:spacing w:before="200" w:after="200"/>
        <w:jc w:val="both"/>
        <w:rPr>
          <w:rFonts w:ascii="Times New Roman" w:hAnsi="Times New Roman"/>
          <w:sz w:val="20"/>
        </w:rPr>
      </w:pPr>
      <w:r>
        <w:rPr>
          <w:rFonts w:ascii="Times New Roman" w:hAnsi="Times New Roman"/>
          <w:b/>
          <w:i/>
          <w:color w:val="000000"/>
          <w:sz w:val="20"/>
        </w:rPr>
        <w:t>The Company is undertaking brand extensions and new business initiatives, and the Company’s investments and efforts in such business evolution may not be successful.</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which is an intensely competitive business and which is dependent on consumer demand, over which the Company has no control. The Company is also exploring new technologies to connect the IMAX network to facilitate bringing more unique content, including broadcasts of live events, to IMAX audiences and to expand the Company’s streaming and consumer technology strategy. If any new brand extensions and business initiatives in which the Company invests or attempts to develop does not progress as planned, the Company may be adversely affected by investment expenses that have not led to the anticipated results, by write-downs of its assets, by the distraction of management from its core business or by damage to its brand or reputation.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New initiatives could involve acquisitions or the formation of joint ventures and business alliances. For example, in September 2022, the Company acquired SSIMWAVE. Such transactions and arrangements involve significant challenges and risks, including that they may not advance the Company’s long-term business strategy, that the Company realizes an unsatisfactory return on its investments or fails to realize anticipated business synergies, that the Company has difficulty integrating or retaining new employees, systems, and technology, that the Company has disagreements with a relevant partner with respect to financing, management, and development, that the Company fails to identify or anticipate risks and liabilities of acquired companies in advance of acquisition, or that management gets distracted from the Company’s core business. Also, it may take longer than expected to realize the full benefits from these transactions and arrangements such as increased revenue or enhanced efficiencies, or the benefits may ultimately be smaller than the Company expected.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adversely affect the Company’s financial performance.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robust procedures, internal policies and technological security measures to safeguard such content and information, as well as a cyber-security insurance policy, the Company’s information technology systems, and the information technology systems of its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including from emerging technologies, such as advanced forms of AI and quantum computing. The Company’s information technology infrastructure may be vulnerable to such attacks, including through the use of malware, software bugs, computer viruses, ransomware, social engineering, and denial of service. It is possible that such attacks could compromise the Company’s security measures or the security measures of parties with whom the Company does business. Because the techniques that may be used to circumvent the Company’s safeguards change frequently and may be difficult to detect, the Company may be unable to anticipate any new techniques or implement sufficient preventive security measures. In addition, the Company’s sensitive, proprietary, or confidential information could be leaked, disclosed, or revealed as a result of or in connection with the Company’s employees’ or third-party vendor’s use of generative AI technologies. The Company seeks to monitor such attempts and incidents and to prevent their recurrence through modifications to the Company’s internal procedures and information technology infrastructure and provides information security training and compliance program to its employees on an annual basis, but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the Company’s business and products, and significant legal and financial exposure, each of which could potentially have an adverse effect on the Company’s business. Refer to Part 1C, Cybersecurity for additional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 variety of laws and regulations at the international, national, and state level govern the Company’s collection, use, protection and processing of personal data. These laws, including but not limited to the General Data Protection Regulation and the California Privacy Rights Act,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and damage to the Company’s reputation, among other negative consequences, any of which could have a material adverse effect on its financial performance.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THE COMPANY’S INTERNATIONAL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conducts business internationally, which exposes it to uncertainties and risks that could negatively affect its operations, sales, and future growth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significant portion of the GBO generated by the Company’s exhibitor customers and its revenues are generated by customers located outside the United States and Canada. Approximately 64%, 62%, and 70% of the Company’s revenues were derived outside of the United States and Canada in 2023, 2022 and 2021, respectively. As of December 31, 2023, approximately 78% of IMAX Systems in backlog are scheduled to be installed in international markets. The Company’s network spanned 90 different countries as of December 31, 2023,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new restrictions on access to markets, both for IMAX Systems and films;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unusual or burdensome foreign laws or regulatory requirements or unexpected changes to those laws or requirements, including censorship of content that may restrict what films the Company’s network can present;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fluctuations in the value of various foreign currencies versus the U.S. Dollar and potential currency devaluations;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new tariffs, trade protection measures, import or export licensing requirements, trade embargoes, sanctions, and other trade barriers;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difficulties in obtaining competitively priced key commodities, raw materials, and component parts from various international sources that are needed to manufacture quality products on a timely basis;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imposition of foreign exchange controls in foreign jurisdictions;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dependence on foreign distributors and their sales channels;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reliance on local partners, including in connection with joint revenue sharing arrangements;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staffing and managing foreign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inability to complete installations of IMAX Systems, including as a result of material disruptions or delays in the Company’s supply chains, or collect full payment on installations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local business practices that can present challenges to compliance with applicable anti-corruption and bribery laws;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establishing market-appropriate pricing;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less accurate and/or less reliable box office reporting;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adverse changes in foreign government monetary and/or tax policies, and/or difficulties in repatriating cash from foreign jurisdictions (including with respect to China, where approval of the State Administration of Foreign Exchange is required);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poor recognition of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enforcing contractual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economic conditions in foreign markets, including inflation;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public health concerns, including pandemics or epidemics, and regulations in response thereto, which could adversely affect the Company’s and its customers'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requirements to provide performance bonds and letters of credit to international customers to secure system component deliveries;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harm to the IMAX brand from operating in countries with records of controversial government action, including human rights abuses;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political, economic and social instability, which could result in adverse consequences for the Company’s interests in different regions of the world.</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Additionally, global geopolitical tensions, such as the Russia and Ukraine and Israel-Hamas Wars, and actions that governments take in response may adversely impact the Company’s ability to operate in such regions and/or result in global or regional economic downturns. For example, in response to the ongoing conflict between Russia and Ukraine, Canada, the United States, and other countries in which the Company operates have imposed broad sanctions and other restrictive actions against governmental and other entities in Russia and Belarus, which in turn have and may continue to have an adverse impact on the Company’s business and results of operations in affected regions. In addition, in the wake of the Russia-Ukraine conflict and resulting sanctions, major movie studios suspended the theatrical release of films in Russia and Belarus and financial institutions halted transactions with Russian entities. The Company has notified its exhibitor clients in Russia and Belarus that such sanctions and actions constitute a force majeure event under their system agreements, resulting in the suspension of the Company’s obligations thereunder. Given the uncertainty as to the scope, intensity, duration and outcome of geopolitical conflicts, it is difficult to predict the full extent of the adverse impact of geopolitical conflicts on the Company’s business and results of operations. Additionally, given the global nature of the Company’s operations, any protracted conflict or the broader macroeconomic impact of geopolitical conflicts and sanctions imposed in response thereto, could have an adverse impact on the Company’s business, results of operations, financial condition, and future performance (the Company has 20 systems in its backlog from Russia, the CIS and Ukraine, and none from Israel) and may also magnify the impact of other risks described herein, including the risk of cybersecurity attacks, which may impact information technology systems unrelated to the conflict, or jeopardize critical infrastructure in jurisdictions where the Company operates.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IMAX systems in such countries and have a negative impact on the Company’s financial condition and future growth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faces risks in connection with its significant presence in China and the continued expansion of its business there.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Greater China is the Company’s largest market by revenue, with approximately 25% of overall revenues generated from its Greater China operations in 2023. As of December 31, 2023, the Company had 807 IMAX Systems operating in Greater China with an additional 206 systems in backlog, which represent 46% of the Company’s current backlog. Of the IMAX Systems currently scheduled to be installed in Greater China, 71% are under joint revenue sharing arrangements, which further increases the Company’s ongoing exposure to box office performance in this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China market faces a number of risks, including a continued slow recovery from the COVID-19 pandemic,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worsening of United States–China political tensions could exacerbate any or all of these risks, and adverse developments in any of these areas could impact the Company’s future revenues and cash flows and could cause the Company to fail to achieve anticipated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believe that it is currently required to obtain any permission or approval from the China Securities Regulatory Commission, the Cyberspace Administration of China or any other regulatory authority in the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PRC laws and regulations become applicable to the Company, it may be subject to the risks and uncertainties associated with the legal system in the PRC, including with respect to the enforcement of laws and the possibility of changes of rules and regulations with little or no advance notice.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While significantly more Hollywood films were given release dates in China in 2023, several of the prominent Hollywood sequels or franchise films released into China in 2023 underperformed their predecessors in that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may experience adverse effects due to exchange rate fluctuations.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substantial portion of the Company’s revenues are denominated in U.S. Dollars, while a substantial portion of its expenses are denominated in Canadian Dollars. The Company also generates revenues in Chinese Yuan Renminbi, Euros and Japanese Yen. While the Company periodically enters into forward contracts to hedge its exposure to exchange rate fluctuations between the U.S. and the Canadian Dollar, the Company may not be successful in reducing its exposure to these fluctuations. The use of derivative contracts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 In addition, because IMAX films generate box office revenue in 90 different countries, unfavorable exchange rates between applicable local currencies and the U.S. Dollar could affect the GBO generated by exhibitors and the Company’s reported revenues, further impacting the Company’s results of operations.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RELATED TO THE COMPANY’S INDUSTRY AND COMPETITIVE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primary customers are commercial multiplex exhibitors. Since 2016, the commercial exhibition industry has undergone significant consolidation, including AMC’s acquisition of Carmike Cinemas and Odeon, which includes Nordic and Cineworld’s acquisition of Regal. Exhibitor concentration has resulted in certain exhibitor chains constituting a material portion of the Company’s network and revenue. For instance, Wanda is the Company’s largest exhibitor customer, representing approximately 10% of the Company’s total revenues in 2023. As of December 31, 2023, through the Company’s partnership with Wanda, there were 376 IMAX Systems operational in Greater China and Wanda represented approximately 21% of the commercial network and 4% of the Company’s backlog. The share of the Company’s revenue that is generated by Wanda is expected to continue to grow as the number of IMAX Systems in backlog with Wanda are opened. No assurance can be given that significant customers such as Wanda will continue to purchase IMAX Systems and/or enter into joint revenue sharing arrangements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receives revenues from studios releasing IMAX films. Hollywood studios have also experienced consolidation, as evidenced by the Walt Disney Company’s acquisition of certain studio assets from Twenty First Century Fox in 2019. Studio consolidation could result in individual studios comprising a greater percentage of the Company’s film slate and overall IMAX Film Remastering revenue, and could expose the Company to the same risks described above in connection with exhibitor consolidation.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Failure to respond adequately or in a timely fashion to changes and advancements in technology could negatively affect the Company’s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keep pace with changes and advancements in digital technology and in order to continue to provide an experience that is premium to and differentiated from conventional entertainment experiences, the Company has made, and expects to continue to make, significant investments in digital technology in the form of research and development and the acquisition of third-party intellectual property and/or proprietary technology. A significant portion of the Company’s research and development efforts have been focused on its laser-based projection systems. The Company’s recent research and development efforts have also focused on image enhancement technology, developing technologies and systems to help bring additional interactivity to its global IMAX network.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will be developed within the timeframe expected.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in September 2022, with the acquisition of SSIMWAVE, a leader in AI-driven video quality solutions for media and entertainment companies, there is ongoing research and development in perceptual metrics including novel measurement and optimization techniques. Artificial intelligence technologies and their use are currently undergoing rapid change. If the Company fails to enhance its current AI products and develop new products in response to changes in technology or industry standards, or the Company fails to bring product enhancements or new product developments to market quickly enough, the Company’s AI products could rapidly become less competitive or obsolete.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introduction of new, competing products and technologies could harm the Company’s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entertainment industry is very competitive. The Company faces competition both in the form of technological advances in in-home entertainment, as well as those within the out-of-home entertainment, including the theater-going experience. For example, according to research conducted by Omdia, there were approximately 42,000 conventional-sized screens in North American commercial multiplexes in 2022. In addition, exhibitors and entertainment technology companies have introduced their own branded, large-screen 3D auditoriums or other proprietary theater systems, and in many cases, have marketed those auditoriums or theater systems as having similar quality or attributes as an IMAX System. The Company competes with entertainment and media companies with new technologies and/or substantially greater capital resources to develop and support them. The Company may be unable to continue to produce theater systems or provide experiences which are premium to, or differentiated from, other theater systems or entertainment experiences, respectively. Furthermore, many of the Company’s commercial exhibitor customers are reliant on the availability of retail shopping malls at physical locations, which compete with other forms of retailing such as online retail websites, and may be adversely affected by the changes in the retail shopping landscape and consumer purchasing pattern. In return, the Company may be adversely affected by the challenges faced by its exhibitor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noted above, the Company faces in-home competition from a number of alternative motion picture distribution channels such as home video, streaming services, video-on-demand, internet, and broadcast and cable television. The average exclusive theatrical release window for Hollywood titles has decreased over the years, and there can be no assurance that this release window, which is determined by the movie studios, will not shrink further which could have an adverse impact on the Company’s business and results of operations. In addition, as a result of the COVID-19 pandemic and related movie theater closures, in 2020 and 2021, a number of films were released directly or concurrently to streaming services the same day as to theaters. Most major film studios have since recommitted to exclusive theatrical releases for blockbuster movies. However, there can be no assurance that direct or concurrent release to streaming services will not resume or increase in the future, intensifying in-home competition. The Company further competes for the public’s leisure time and disposable income with other forms of entertainment, including gaming, sporting events, concerts, live theater, social media, and restaurants.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the Company is unable to continue to produce a differentiated theater experience, consumers may be unwilling to pay the price premiums associated with the cost of IMAX tickets and box office performance of IMAX films may decline. The declining box-office performance of IMAX films could materially and adversely harm the Company’s business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may not be able to adequately protect its intellectual property, and competitors could misappropriate its technology or brand, which could weaken its competitive position.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depends on its proprietary knowledge regarding IMAX Systems and digital and film technology, video quality assessment and image enhancement.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the future growth of the Company is anticipated to come from foreign jurisdictions. The Company may develop proprietary technology or knowledge, including AI-generated works, that are not entitled to intellectual property protection. Finally, some of the underlying technologies of the Company’s products and system components are not covered by patents or patent applications.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owns patents issued and patent applications pending, including those covering its digital projector, digital conversion technology, laser illumination technology, and other inventions relating to imaging technology and video quality assessment. The Company’s patents are filed in the United States, often with corresponding patents or filed applications in other jurisdictions, such as Canada, China, Belgium, Japan, France, Germany, and the United Kingdom. The patent applications pending may not be issued or the patents may not provide the Company with any competitive advantage. The patent applications may also be challenged by third parties. Several of the Company’s issued patents expire between 2024 and 2041. If the Company’s patent claims are rendered invalid or unenforceable, or narrowed in scope, the patent coverage afforded the Company’s products and services could be impaired, which could negatively affect its competitive position. In addition, competitors and other third-parties may be able to circumvent or design around the Company’s patents and may develop and obtain patent protection for more effective technologies. If these developments were to occur, it could have an adverse effect on the Company’s sales or market position.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claims or litigation initiated by the Company to protect its proprietary technology could be time consuming, costly, and divert the attention of its technical and management resources. If the Company chooses to go to court to stop a third-party from infringing its intellectual property, that third-party may ask the court to rule that the Company’s intellectual property rights are invalid and/or should not be enforced against that third-party.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relies upon trade secrets and other confidential and proprietary know how to develop and maintain the Company’s competitive position. While it is the Company’s policy to enter into agreements imposing nondisclosure and confidentiality obligations upon its employees and third-parties to protect the Company’s intellectual property, these obligations may be breached, may not provide meaningful protection for the Company’s trade secrets or proprietary know-how, or adequate remedies may not be available in the event of an unauthorized access, use or disclosure of the Company’s trade secrets and know-how.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IMAX brand stands for the highest quality and most immersive entertainment experiences.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declared generic or determined to be infringing on other marks, it could have an adverse effect on the Company’s sales or market position. </w:t>
      </w:r>
    </w:p>
    <w:p>
      <w:pPr>
        <w:pStyle w:val="TextBody"/>
        <w:bidi w:val="0"/>
        <w:spacing w:before="200" w:after="283"/>
        <w:jc w:val="both"/>
        <w:rPr>
          <w:rFonts w:ascii="Times New Roman" w:hAnsi="Times New Roman"/>
          <w:sz w:val="20"/>
        </w:rPr>
      </w:pPr>
      <w:r>
        <w:rPr>
          <w:rFonts w:ascii="Times New Roman" w:hAnsi="Times New Roman"/>
          <w:b/>
          <w:i/>
          <w:color w:val="000000"/>
          <w:sz w:val="20"/>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commercial success will depend in part on not infringing, misappropriating, or violating the intellectual property rights of others. A third-party could assert a claim against the Company for alleged infringement of its patent, copyright, trademark, or other intellectual property rights, including in relation to technologies that are important to the Company’s business. The Company 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the Company enters into royalty or licensing arrangements with the prevailing party or are able to redesign its products and services to avoid infringement. Such a license may not be available on reasonable terms, if at all, and there can be no assurance that the Company would be able to redesign its services in a way that would not infringe the intellectual property rights of others. Any payments the Company is required to make and any injunction the Company is required to comply with as a result of any infringement could harm its reputation and financial results.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THE COMPANY’S REVENUES, EARNINGS, AND FINANCIAL POSITION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Company’s operating results and cash flow can vary substantially from period to period and could increase the volatility of its share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operating results and cash flow can fluctuate substantially from period to period. In particular, fluctuations in IMAX System installations and GBO performance of IMAX films can materially affect operating results. Factors that have affected the Company’s operating results and cash flow in the past, and are likely to affect its operating results and cash flow in the future, include,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timing of signing and installation of new IMAX Systems (particularly for installations in newly-built multiplexes, which can result in delays that are beyond the Company’s control);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timing and commercial success of films distributed to the Company’s network;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demand for, and acceptance of, the Company’s products and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recognition of revenue of sale and sales-type leases;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classification of leases as sales-type versus operating;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volume of orders received and that can be filled in the period;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level of its sales backlog;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signing of film distribution agreements;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performance of IMAX Systems operated by the Company’s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difficulties faced by customers, particularly customers in the commercial exhibition industry;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magnitude and timing of spending in relation to the Company’s research and development efforts and related investments, as well as new business initiatives, and success thereof;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and timing of joint revenue sharing arrangement installations, related capital expenditures, and timing of related cash receipts.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Most of the Company’s operating expenses are fixed in the short term. The Company may be unable to rapidly adjust its spending to compensate for any unexpected shortfall in sales, joint revenue sharing arrangements revenue or IMAX Film Remastering revenue, which would harm operating results for a particular period.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Company’s systems revenue can vary significantly from its cash flows under IMAX System sales or lease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systems revenue can vary significantly from the associated cash flows. The Company often provides financing to customers for IMAX Systems on a long-term basis through long-term sale or lease arrangements. The terms of leases or financing receivables are typically 10 to 12 years. The sale and sales-type lease agreements for IMAX Systems typically provide for three major sources of cash flow: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initial fees, which are paid in installments generally commencing upon the signing of the agreement until installation of the IMAX System;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ongoing fees, which are paid monthly after the IMAX System has been opened to the public and are generally equal to the greater of a fixed minimum amount per annum and a percentage of box office receipts;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ongoing annual maintenance and extended warranty fees, which are generally payable commencing in the second year of theater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Initial fees generally make up the vast majority of cash received under IMAX System sales or sales-type lease agreements for a theater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sale and sales-type leases, the revenue recorded is generally equal to the sum of initial fees and the present value of any future initial payments, and fixed minimum ongoing payments. Sales arrangements also include an estimate of future variable consideration due under the agreement. Cash received from initial fees in advance of meeting the revenue recognition criteria for the IMAX Systems is recorded as deferred revenue.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Leases that do not transfer substantially all of the benefits and risks of ownership to the customer are classified as operating leases. For these leases, initial fees and fixed minimum ongoing payments are recognized as revenue on a straight-line basis over the lease term. Contingent payments in excess of fixed minimum ongoing payments are recognized as revenue when reported by theater operators, provided collectability is reasonably assured.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under its lease and sale agreements if its customers default on their payment obligations.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may not convert all of its backlog into revenue and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Company’s backlog included 450 IMAX Systems, consisting of 164 IMAX Systems under sales or lease arrangements and 286 IMAX Systems under joint revenue sharing arrangements. The Company lists signed contracts for IMAX Systems for which revenue has not been recognized as backlog prior to the time of revenue recognition. The total value of the backlog represents all signed IMAX System sale or lease agreements that are expected to be recognized as revenue in the future and includes initial fees along with the estimated present value of contractual ongoing fees due over the term, and a variable consideration estimate for the IMAX Systems under sales arrangements, but it excludes amounts allocated to maintenance and extended warranty revenues. Notwithstanding the legal obligation to do so, some of the Company’s customers with which it has signed contracts may not accept delivery of IMAX Systems that are included in the Company’s backlog. An economic or industry downturn may exacerbate the risk of customers not accepting delivery of IMAX Systems. Any reduction in backlog could adversely affect the Company’s future revenues and cash flows. In addition, customers with system obligations in backlog sometimes request that the Company agree to modify or reduce such obligations, which the Company has agreed to do in the past under certain circumstances. Customer-requested delays in the installation of IMAX Systems in backlog remain a recurring and unpredictable part of the Company’s business. </w:t>
      </w:r>
    </w:p>
    <w:p>
      <w:pPr>
        <w:pStyle w:val="TextBody"/>
        <w:bidi w:val="0"/>
        <w:spacing w:before="200" w:after="283"/>
        <w:jc w:val="both"/>
        <w:rPr>
          <w:rFonts w:ascii="Times New Roman" w:hAnsi="Times New Roman"/>
          <w:sz w:val="20"/>
        </w:rPr>
      </w:pPr>
      <w:r>
        <w:rPr>
          <w:rFonts w:ascii="Times New Roman" w:hAnsi="Times New Roman"/>
          <w:b/>
          <w:i/>
          <w:color w:val="000000"/>
          <w:sz w:val="20"/>
        </w:rPr>
        <w:t>The Company’s inability to enter into renewals of new sales and lease agreements on favorable terms or at all would adversely affect its cash flows and operating results.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Approximately 7% of the Company’s sales and lease agreements are due to expire in the next 12 months. If these agreements are not renewed, or if the Company is unable to enter into new leases agreements comparable to those currently in effect in a timely manner, then the Company’s systems revenue could be adversely affected.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Company’s revenues from existing customers are derived in part from financial reporting provided by its customers, which may be inaccurate or incomplete, resulting in lost or delayed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revenue under its joint revenue sharing arrangements, a portion of the Company’s payments under lease or sales arrangements and its film distribution fees are based upon financial reporting provided by its customers. If such reporting is inaccurate, incomplete, or withheld, the Company’s ability to receive the appropriate payments it is owed in a timely fashion may be impaired. The Company’s contractual ability to audit IMAX locations may not rectify payments lost or delayed as a result of customers not fulfilling their contractual obligations with respect to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There is collection risk associated with payments to be received over the terms of the Company’s IMAX System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may be subject to impairment losses on its film assets if such assets do not meet management’s estimates of total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amortizes its film assets, including IMAX Film Remastering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 may be subject to impairment losses on its inventories if they become obsolete.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records write-downs for excess and obsolete inventory based upon current estimates of future events and conditions, including the anticipated installation dates for the current backlog of IMAX System contracts, technological developments, signings in negotiation and anticipated market acceptance of the Company’s current and pending IMAX Systems.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the Company’s goodwill or long-lived assets become impaired, the Company may be required to record a significant charge to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United States Generally Accepted Accounting Principles (“U.S. GAAP”), the Company reviews its long-lived assets for impairment when events or changes in circumstances indicate the carrying value may not be recoverable. Goodwill is required to be qualitatively assessed at least annually and when events or changes in circumstances arise or can be quantitatively tested for impairment. Factors that may be considered a change in circumstances include (but are not limited to) a decline in share price and market capitalization, declines in future cash flows, and slower growth rates in the Company’s industry. The Company may be required to record a significant charge to earnings in its financial statements during the period in which any impairment of its goodwill or long-lived assets is determined.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THE COMPANY’S COMMON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market price for the Company’s common shares has historically been volatile and declines in market price, may negatively affect its ability to raise capital, issue debt, secure customer business, and retain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its ability to raise capital, issue debt, secure customer business or retain employees. These factors, as well as general economic and geopolitical conditions, may have a material adverse effect on the market price of the Company’s publicly traded securities.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Because the Company is incorporated in Canada, it may be difficult for plaintiffs to enforce against the Company liabilities based solely upon United States federal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United States plaintiffs to effect service within the United States upon those directors or officers who are not residents of the United States, or to obtain or enforce against them or the Company judgments of United States courts predicated solely upon civil liability under the United States federal securities laws. In addition, it may be difficult for plaintiffs to bring an original action outside of the United States against the Company to enforce liabilities based solely on United States federal securities laws.</w:t>
      </w:r>
    </w:p>
    <w:p>
      <w:pPr>
        <w:pStyle w:val="TextBody"/>
        <w:bidi w:val="0"/>
        <w:spacing w:before="200" w:after="240"/>
        <w:jc w:val="both"/>
        <w:rPr>
          <w:rFonts w:ascii="Times New Roman" w:hAnsi="Times New Roman"/>
          <w:b/>
          <w:color w:val="000000"/>
          <w:sz w:val="20"/>
        </w:rPr>
      </w:pPr>
      <w:r>
        <w:rPr>
          <w:rFonts w:ascii="Times New Roman" w:hAnsi="Times New Roman"/>
          <w:b/>
          <w:color w:val="000000"/>
          <w:sz w:val="20"/>
        </w:rPr>
        <w:t>RISKS RELATED TO THE COMPANY’S INDEBTEDNESS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credit agreement governing the Company’s senior secured credit facility contains significant restrictions that limit its operating and financial flexibility.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agreement governing the Company’s senior secured credit facility contains certain restrictive covenants that, among other things, limit its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incur additional indebtedness;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dividends and make distributions;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repurchase stock;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make certain investments;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transfer or sell assets;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create liens;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enter into transactions with affiliates;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issue or sell stock of subsidiaries;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create dividend or other payment restrictions affecting restricted subsidiaries;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merge, consolidate, amalgamate, or sell all or substantially all of its assets to another person.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restrictive covenants impose operating and financial restrictions on the Company that limit its ability to engage in acts that may be in the Company’s long-term best interests.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both"/>
        <w:rPr>
          <w:rFonts w:ascii="Times New Roman" w:hAnsi="Times New Roman"/>
          <w:sz w:val="20"/>
        </w:rPr>
      </w:pPr>
      <w:r>
        <w:rPr>
          <w:rFonts w:ascii="Times New Roman" w:hAnsi="Times New Roman"/>
          <w:b/>
          <w:i/>
          <w:color w:val="212529"/>
          <w:sz w:val="20"/>
        </w:rPr>
        <w:t>The</w:t>
      </w:r>
      <w:r>
        <w:rPr>
          <w:rFonts w:ascii="Times New Roman" w:hAnsi="Times New Roman"/>
          <w:color w:val="000000"/>
          <w:sz w:val="20"/>
        </w:rPr>
        <w:t xml:space="preserve"> </w:t>
      </w:r>
      <w:r>
        <w:rPr>
          <w:rFonts w:ascii="Times New Roman" w:hAnsi="Times New Roman"/>
          <w:b/>
          <w:i/>
          <w:color w:val="000000"/>
          <w:sz w:val="20"/>
        </w:rPr>
        <w:t>Company’s indebtedness and liabilities could limit the cash flow available for its operations, and expose the Company to risks that could adversely affect its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As of </w:t>
      </w:r>
      <w:r>
        <w:rPr>
          <w:rFonts w:ascii="Times New Roman" w:hAnsi="Times New Roman"/>
          <w:color w:val="000000"/>
          <w:sz w:val="20"/>
        </w:rPr>
        <w:t>December 31, 2023</w:t>
      </w:r>
      <w:r>
        <w:rPr>
          <w:rFonts w:ascii="Times New Roman" w:hAnsi="Times New Roman"/>
          <w:color w:val="212529"/>
          <w:sz w:val="20"/>
        </w:rPr>
        <w:t>, the Company had approximately $389.5 million of consolidated indebtedness and liabilities.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increasing its vulnerability to adverse economic and industry conditions;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limiting its ability to obtain additional financing;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requiring the dedication of a substantial portion of its cash flow from operations to service its indebtedness, which will reduce the amount of cash available for other purposes;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limiting its flexibility to plan for, or react to, changes in its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diluting the interests of its shareholders as a result of issuing common shares upon conversion of the 0.500% Convertible Senior Notes due 2026 (the “Convertible Notes”);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placing the Company at a possible competitive disadvantage with competitors that are less leveraged than the Company or have better access to capital.</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or to make payments under its indebtedness when due, then the Company would be in default under that indebtedness, which could, in turn, result in that and the Company’s other indebtedness becoming immediately payable in full. A description of the Company’s outstanding indebtedness is provided in Note 14 to Consolidated Financial Statements in Part II, Item 8. </w:t>
      </w:r>
    </w:p>
    <w:p>
      <w:pPr>
        <w:pStyle w:val="TextBody"/>
        <w:bidi w:val="0"/>
        <w:spacing w:before="200" w:after="283"/>
        <w:jc w:val="both"/>
        <w:rPr>
          <w:rFonts w:ascii="Times New Roman" w:hAnsi="Times New Roman"/>
          <w:b/>
          <w:i/>
          <w:color w:val="212529"/>
          <w:sz w:val="20"/>
        </w:rPr>
      </w:pPr>
      <w:r>
        <w:rPr>
          <w:rFonts w:ascii="Times New Roman" w:hAnsi="Times New Roman"/>
          <w:b/>
          <w:i/>
          <w:color w:val="212529"/>
          <w:sz w:val="20"/>
        </w:rPr>
        <w:t>The Company may be unable to raise the funds necessary to repurchase the Convertible Notes for cash following a fundamental change, or to pay the cash amounts due upon conversion, and the Company’s other indebtedness may limit its ability to repurchase the Convertible Notes or pay cash upon their conversion.</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Noteholders may, subject to a limited exception described in the indenture governing the Convertible Notes, require the Company to repurchase their Convertible Notes following a fundamental change at a cash repurchase price generally equal to the principal amount of the Convertible Notes to be repurchased, plus accrued and unpaid interest, if any. In addition, all conversions of Convertible Notes will be settled partially or entirely in cash. The Company may not have enough available cash or be able to obtain financing at the time it is required to repurchase the Convertible Notes or pay the cash amounts due upon conversion. In addition, applicable law, regulatory authorities and the agreements governing the Company’s other indebtedness may restrict the Company’s ability to repurchase the Convertible Notes or pay the cash amounts due upon conversion. The Company’s failure to repurchase Convertible Notes or pay the cash amounts due upon conversion when required will constitute a default under the indenture governing the Convertible Notes. A default under the indenture or the fundamental change itself could also lead to a default under agreements governing the Company’s other indebtedness, which may result in that other indebtedness becoming immediately payable in full. The Company may not have sufficient funds to satisfy all amounts due under its other indebtedness and the Convertible Notes.</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Provisions in the indenture could delay or prevent an otherwise beneficial takeover of the Company.</w:t>
      </w:r>
    </w:p>
    <w:p>
      <w:pPr>
        <w:pStyle w:val="TextBody"/>
        <w:bidi w:val="0"/>
        <w:jc w:val="both"/>
        <w:rPr>
          <w:rFonts w:ascii="Times New Roman" w:hAnsi="Times New Roman"/>
          <w:sz w:val="20"/>
        </w:rPr>
      </w:pPr>
      <w:r>
        <w:rPr>
          <w:rFonts w:ascii="Times New Roman" w:hAnsi="Times New Roman"/>
          <w:color w:val="212529"/>
          <w:sz w:val="20"/>
        </w:rPr>
        <w:t>Certain provisions in the Convertible Notes and the related indenture could make a third-party attempt to acquire the Company more difficult or expensive. For example, if a takeover constitutes a fundamental change, then noteholders will have the right to require the Company to repurchase their Convertible Notes</w:t>
      </w:r>
      <w:r>
        <w:rPr>
          <w:rFonts w:ascii="Times New Roman" w:hAnsi="Times New Roman"/>
          <w:color w:val="000000"/>
          <w:sz w:val="20"/>
        </w:rPr>
        <w:t xml:space="preserve"> for cash. In addition, if a takeover constitutes a make-whole fundamental change, then the Company may be required to temporarily 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The Company is subject to counterparty risk with respect to the Capped Call Transactions, and the capped call may not operate as planned.</w:t>
      </w:r>
    </w:p>
    <w:p>
      <w:pPr>
        <w:pStyle w:val="TextBody"/>
        <w:bidi w:val="0"/>
        <w:jc w:val="both"/>
        <w:rPr>
          <w:rFonts w:ascii="Times New Roman" w:hAnsi="Times New Roman"/>
          <w:sz w:val="20"/>
        </w:rPr>
      </w:pPr>
      <w:r>
        <w:rPr>
          <w:rFonts w:ascii="Times New Roman" w:hAnsi="Times New Roman"/>
          <w:color w:val="212529"/>
          <w:sz w:val="20"/>
        </w:rPr>
        <w:t xml:space="preserve">In connection with the issuance of the Convertible Notes, the Company entered into privately negotiated capped call transactions with option counterparties (the “Capped Call Transactions”). </w:t>
      </w:r>
      <w:r>
        <w:rPr>
          <w:rFonts w:ascii="Times New Roman" w:hAnsi="Times New Roman"/>
          <w:color w:val="000000"/>
          <w:sz w:val="20"/>
        </w:rPr>
        <w:t>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anticipates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pStyle w:val="TextBody"/>
        <w:bidi w:val="0"/>
        <w:spacing w:before="200" w:after="283"/>
        <w:jc w:val="both"/>
        <w:rPr>
          <w:rFonts w:ascii="Times New Roman" w:hAnsi="Times New Roman"/>
          <w:b/>
          <w:color w:val="212529"/>
          <w:sz w:val="20"/>
        </w:rPr>
      </w:pPr>
      <w:r>
        <w:rPr>
          <w:rFonts w:ascii="Times New Roman" w:hAnsi="Times New Roman"/>
          <w:b/>
          <w:color w:val="212529"/>
          <w:sz w:val="20"/>
        </w:rPr>
        <w:t>GENERAL RISK FACTORS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loss of one or more of the Company’s key personnel, or its failure to attract and retain its employee population, could adversely affect its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development of non-compete laws, and workforce participation rates, may negatively affect the Company’s ability to retain and attract qualified employees. If the Company experiences high attrition rates in its employee population, the results of our operations may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accounting and changes in management’s estimates may affect the Company’s reported earnings and operating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More information is provided in Critical Accounting Estimates within Management’s Discussion and Analysis of Financial Condition and Results of Operations in Item 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Regulatory and market responses to climate change concerns may negatively impact our business and increase our operating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Growing public concern about climate change has resulted in the increased focus of local, state, regional, national and international regulatory bodies on climate change issues. As a result, climate change regulation and market reactions to climate change could adversely impact the Company’s business, including the potential for an increase in climate risk assessment. Such enhanced governmental and societal attention to climate matters, including expanding mandatory and voluntary reporting, diligence, and disclosure on topics such as climate change impacts, carbon emissions, water usage, waste management, and risk oversight, could expand the nature, scope, and complexity of matters that the Company is required to control, assess, and report. Furthermore, regulatory efforts to combat climate change could result in increases in the cost of raw materials, taxes, transportation and utilities for the Company’s suppliers and vendors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which would result in higher operating costs for the Company and potentially impact the availability of components used in the Company’s systems. These and other rapidly changing laws, regulations, policies, interpretations, and expectations may increase the cost of the Company’s compliance, divert management attention, alter the environment in which it does business, and expose the Company to potentially significant fines or other penalties if it is unable to comply with such laws, regulations or policies, any of which could have a material adverse effect on the Company’s business, results of operations, and financial condition. In addition, the shift toward a lower-carbon economy, driven by policy regulations, low-carbon technology advancement, consumer sentiment, and/or liability risks, may negatively impact the Company’s business and operating costs. However, the Company is unable to predict at this time, the potential effects, if any, that any climate change initiatives may have on its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Company’s business and financial results could be adversely affected by weather conditions and natural and man-made disasters.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Physical risks, including man-made disasters, such as infrastructure failures, structural collapse, fires, explosions, and acts of war and terror, as well as weather conditions and natural disasters, such as earthquakes, droughts, floods, hailstorms, heavy or prolonged precipitation, wildfires, hurricanes, sea level rise and others, affecting the IMAX global network or corporate locations, could harm the Company’s business. Additionally, the physical impacts of climate change may cause occurrences of natural disasters to increase in frequency, severity and duration, magnifying the adverse impact of such occurrences and the cost of insuring against them. The 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 </w:t>
      </w:r>
    </w:p>
    <w:p>
      <w:pPr>
        <w:pStyle w:val="TextBody"/>
        <w:bidi w:val="0"/>
        <w:spacing w:before="200" w:after="283"/>
        <w:jc w:val="both"/>
        <w:rPr>
          <w:rFonts w:ascii="Times New Roman" w:hAnsi="Times New Roman"/>
          <w:sz w:val="20"/>
        </w:rPr>
      </w:pPr>
      <w:bookmarkStart w:id="5" w:name="item_1b_unresolved_staff_comments"/>
      <w:bookmarkEnd w:id="5"/>
      <w:r>
        <w:rPr>
          <w:rFonts w:ascii="Times New Roman" w:hAnsi="Times New Roman"/>
          <w:b/>
          <w:color w:val="000000"/>
          <w:sz w:val="20"/>
        </w:rPr>
        <w:t xml:space="preserve">Item 1B. </w:t>
      </w:r>
      <w:r>
        <w:rPr>
          <w:rFonts w:ascii="Times New Roman" w:hAnsi="Times New Roman"/>
          <w:b/>
          <w:i/>
          <w:color w:val="000000"/>
          <w:sz w:val="20"/>
        </w:rPr>
        <w:t>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bookmarkStart w:id="6" w:name="item_1c_cybersecurity"/>
      <w:bookmarkEnd w:id="6"/>
      <w:r>
        <w:rPr>
          <w:rFonts w:ascii="Times New Roman" w:hAnsi="Times New Roman"/>
          <w:b/>
          <w:color w:val="000000"/>
          <w:sz w:val="20"/>
        </w:rPr>
        <w:t xml:space="preserve">Item 1C. </w:t>
      </w:r>
      <w:r>
        <w:rPr>
          <w:rFonts w:ascii="Times New Roman" w:hAnsi="Times New Roman"/>
          <w:b/>
          <w:i/>
          <w:color w:val="000000"/>
          <w:sz w:val="20"/>
        </w:rPr>
        <w:t>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not aware of any cybersecurity threats or incidents to date that have materially affected its strategy, results of operations, or financial condition. However, the scope and impact of any future cybersecurity incident cannot be predicted with certainty. More information on how material cybersecurity attacks may impact the Company’s business is provided in “Item 1A.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Cybersecurity Risk Management Framework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employs a multi-faceted cybersecurity risk management framework, which is integrated into its enterprise risk management system. The Company aligns its security policies and practices with the ISO 27001 framework and manages its cybersecurity risks through a dedicated information security team, reporting to Mr. Preston. The information security team is tasked with, among other things, assessing, identifying and managing material cybersecurity risks and overseeing the implementation of the Company’s cybersecurity strategy. The Company’s cybersecurity risk management includes, but is not limited to, the following elements.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Risk Identification and Assessment: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team conducts periodic risk assessments, which includes penetration testing and vulnerability scanning, on the Company’s Information Technology (IT) infrastructure, systems, and networks to identify potential vulnerabilities, weaknesses, and risks, and evaluates the potential impact of cybersecurity risks on the Company’s operations, financials, and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Mitigation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team implements and maintains a multi-layered defense approach to safeguard the Company’s information technology infrastructure in accordance with industry best practices and updates the Company’s systems and software to address identified vulnerabilities. The Company has also developed an incident response and disaster recovery plan to respond to cybersecurity incidents.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Vendor Risk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evaluates the risk profile of its third-party service providers and may include cybersecurity enhancement or compliance requirements in its service agreements, as needed. The information security team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periodically reviews key vendors and counterparties’ cybersecurity practices and may conduct audits or assessments at its discretion.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has established clear lines of communication with key stakeholders, including executives, IT teams, employees, and customers, to ensure transparency and an effective response to cybersecurity incidents. Furthermore, the information security team develops and provides cybersecurity awareness training to the Company’s employees and regularly communicates updates on best cybersecurity practices and improvements in the cybersecurity program.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may use third-party programs and software and engage assessors, consultants, cybersecurity auditors, or other third parties to review, test, and advise on improvements to the Company’s cybersecurity infrastructure.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Role of the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Audit Committee oversees the Company’s risk management and assessment, including its mitigation strategies, and updates the entire Board on the Company’s risk profile and exposures on an as needed basis. With respect to cybersecurity, the Company’s Chief Technology Officer (“CTO”) and Head of Information Security updates the Audit Committee on at least an annual basis on matters such as external cybersecurity threats and attack trends; updates to threat monitoring processes; the composition of the Company’s information security team; cybersecurity awareness training and testing; cybersecurity strategy; cybersecurity metrics, and assessments the progress of cybersecurity programs; and the potential scope and impact of cybersecurity risks and incidents on the Company’s operations and financial condition. The Audit Committee may also meet with management on an ad hoc basis to discuss and review any material cybersecurity incidents or threats.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Role of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 is responsible for managing risks and informing the Board of the Company’s material near- and long-term risks and risk management strategies. Management presents the Company’s risk assessment, which includes its cybersecurity risks, to the Audit Committee on at least an annual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Chief Technology Officer (“CTO”) leads management’s assessment and management of cybersecurity risks. The Company’s Head of Information Security leads the information security team, which is responsible for managing day-to-day cybersecurity risks and implementing and maintaining the Company’s cybersecurity strategy. The Head of Information Security reports to and regularly briefs the CTO on cybersecurity matters, including results of vulnerability testing and remediation, cyber incident responses, and progress on cybersecurity infrastructure initiatives. The CTO and Head of Information Security update the Audit Committee about cybersecurity risks and any investigation of a material cybersecurity incident.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current CTO has over 20 years of experience in senior technology leadership roles, involving oversight of all aspects of technology development and technical operations, including cybersecurity.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current Head of Information Securities has over 20 years of experience in cybersecurity roles, including in cybersecurity engineering, information security assessment, and development and management of corporate security policies and governance problems.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bookmarkStart w:id="7" w:name="item_2_properties"/>
      <w:bookmarkEnd w:id="7"/>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principal executive offices are located in Mississauga, Ontario, Canada, New York, New York, and Playa Vista, California. As of December 31, 2023, the Company’s principal facilities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5714"/>
        <w:gridCol w:w="146"/>
        <w:gridCol w:w="900"/>
        <w:gridCol w:w="146"/>
        <w:gridCol w:w="933"/>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Own/Lease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w:t>
            </w:r>
          </w:p>
        </w:tc>
      </w:tr>
      <w:tr>
        <w:trPr/>
        <w:tc>
          <w:tcPr>
            <w:tcW w:w="22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Mississauga, Ontario</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Headquarters, Administrative, Assembly, Research and Development,</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left"/>
              <w:rPr/>
            </w:pPr>
            <w:r>
              <w:rPr/>
              <w:t> </w:t>
            </w:r>
          </w:p>
        </w:tc>
      </w:tr>
      <w:tr>
        <w:trPr/>
        <w:tc>
          <w:tcPr>
            <w:tcW w:w="2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Maintenance Services</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Playa Vista, California</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Film Production and Post-Production</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 New York</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Tokyo, Japan</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and Maintenance Services</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China</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Maintenance Services, and Administrative</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Waterloo, Ontario</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Administrative, and Research and Development</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Dublin, Ireland</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Administrative, and Research and Development</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r>
      <w:tr>
        <w:trPr/>
        <w:tc>
          <w:tcPr>
            <w:tcW w:w="2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London, United Kingdom</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57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9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933" w:type="dxa"/>
            <w:tcBorders/>
            <w:shd w:fill="FFFFFF" w:val="clear"/>
            <w:vAlign w:val="center"/>
          </w:tcPr>
          <w:p>
            <w:pPr>
              <w:pStyle w:val="TableContents"/>
              <w:bidi w:val="0"/>
              <w:spacing w:before="0" w:after="283"/>
              <w:jc w:val="center"/>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facility is subject to a charge in favor of Wells Fargo Bank in connection with a secured revolving credit facility. More information is provided in Note 14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believes that its existing facilities and equipment are in good operating condition and are suitable for the conduct of its business.</w:t>
      </w:r>
    </w:p>
    <w:p>
      <w:pPr>
        <w:pStyle w:val="TextBody"/>
        <w:bidi w:val="0"/>
        <w:spacing w:before="200" w:after="283"/>
        <w:jc w:val="both"/>
        <w:rPr>
          <w:rFonts w:ascii="Times New Roman" w:hAnsi="Times New Roman"/>
          <w:sz w:val="20"/>
        </w:rPr>
      </w:pPr>
      <w:bookmarkStart w:id="8" w:name="item_3_legal_proceedings"/>
      <w:bookmarkEnd w:id="8"/>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Refer to Note 16 to Consolidated Financial Statements in Part II, Item 8. </w:t>
      </w:r>
    </w:p>
    <w:p>
      <w:pPr>
        <w:pStyle w:val="TextBody"/>
        <w:bidi w:val="0"/>
        <w:spacing w:before="200" w:after="283"/>
        <w:jc w:val="both"/>
        <w:rPr>
          <w:rFonts w:ascii="Times New Roman" w:hAnsi="Times New Roman"/>
          <w:sz w:val="20"/>
        </w:rPr>
      </w:pPr>
      <w:bookmarkStart w:id="9" w:name="item_4_mine_safety_disclosures"/>
      <w:bookmarkEnd w:id="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common shares are traded on the NYSE under the symbol “IMAX”.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January 31, 2024, the Company had approximately 231 registered holders of record of its common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Over the last few years, the Company has not paid, nor does the Company have any current plans to pay, cash dividends on its common shares. The payment of dividends by the Company is subject to certain restrictions under the terms of the Company’s indebtedness (see Note 14 to Consolidated Financial Statements in Part II, Item 8). The payment of any future dividends will be determined by the Board in light of conditions then existing, including the Company’s financial condition and requirements, future prospects, restrictions in financing agreements, business conditions and other factors deemed relevant by the Board.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grants two types of performance stock units (“PSU”),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respectively.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Compensation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information regarding the Company’s Equity Compensation Plan as of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6"/>
        <w:gridCol w:w="146"/>
        <w:gridCol w:w="229"/>
        <w:gridCol w:w="1461"/>
        <w:gridCol w:w="146"/>
        <w:gridCol w:w="146"/>
        <w:gridCol w:w="369"/>
        <w:gridCol w:w="255"/>
        <w:gridCol w:w="1003"/>
        <w:gridCol w:w="146"/>
        <w:gridCol w:w="146"/>
        <w:gridCol w:w="233"/>
        <w:gridCol w:w="1495"/>
        <w:gridCol w:w="194"/>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br/>
              <w:t>Number of Securities to</w:t>
              <w:br/>
              <w:t>be Issued Upon Exercise</w:t>
              <w:br/>
              <w:t>of Outstanding Options,</w:t>
              <w:br/>
              <w:t>Warrants and Rights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7"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 Average</w:t>
              <w:br/>
              <w:t>Exercise Price of</w:t>
              <w:br/>
              <w:t>Outstanding Options,</w:t>
              <w:br/>
              <w:t>Warrants and Rights</w:t>
            </w:r>
            <w:r>
              <w:rPr>
                <w:rFonts w:ascii="Times New Roman" w:hAnsi="Times New Roman"/>
                <w:color w:val="000000"/>
                <w:sz w:val="16"/>
              </w:rPr>
              <w:t> </w:t>
            </w:r>
            <w:r>
              <w:rPr>
                <w:rFonts w:ascii="Times New Roman" w:hAnsi="Times New Roman"/>
                <w:b/>
                <w:color w:val="000000"/>
                <w:sz w:val="11"/>
              </w:rPr>
              <w:t>(2)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 for</w:t>
              <w:br/>
              <w:t>Future Issuance Under</w:t>
              <w:br/>
              <w:t>Equity Compensation</w:t>
              <w:br/>
              <w:t>Plans (Excluding</w:t>
              <w:br/>
              <w:t>Securities Reflected</w:t>
              <w:br/>
              <w:t>in Column (A))</w:t>
            </w:r>
          </w:p>
        </w:tc>
        <w:tc>
          <w:tcPr>
            <w:tcW w:w="194" w:type="dxa"/>
            <w:tcBorders/>
            <w:shd w:fill="FFFFFF" w:val="clear"/>
            <w:vAlign w:val="center"/>
          </w:tcPr>
          <w:p>
            <w:pPr>
              <w:pStyle w:val="TableContents"/>
              <w:bidi w:val="0"/>
              <w:spacing w:before="0" w:after="283"/>
              <w:jc w:val="center"/>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Plan Category</w:t>
            </w:r>
          </w:p>
        </w:tc>
        <w:tc>
          <w:tcPr>
            <w:tcW w:w="146" w:type="dxa"/>
            <w:tcBorders/>
            <w:shd w:fill="FFFFFF" w:val="clear"/>
            <w:vAlign w:val="center"/>
          </w:tcPr>
          <w:p>
            <w:pPr>
              <w:pStyle w:val="TableContents"/>
              <w:bidi w:val="0"/>
              <w:spacing w:before="0" w:after="283"/>
              <w:jc w:val="left"/>
              <w:rPr/>
            </w:pPr>
            <w:r>
              <w:rPr/>
              <w:t> </w:t>
            </w:r>
          </w:p>
        </w:tc>
        <w:tc>
          <w:tcPr>
            <w:tcW w:w="1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5"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4,895,941</w:t>
            </w:r>
          </w:p>
        </w:tc>
        <w:tc>
          <w:tcPr>
            <w:tcW w:w="194" w:type="dxa"/>
            <w:tcBorders/>
            <w:shd w:fill="CFF0FC" w:val="cle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1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4,895,941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securities to be issued upon exercise of outstanding options, warrants, and rights excludes 668,708 common shares that may be issued with respect to PSUs outstanding, assuming full achievement of the Adjusted EBITDA and TSR targets.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weighted average exercise price is calculated based solely on outstanding stock options and does not take into account common shares that are subject to outstanding RSUs and PSUs, which do not have an exercise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graph compares the total cumulative shareholder return for $100 invested on December 31, 2018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Cinemark Holdings, Inc., Cineplex Inc., Dolby Laboratories, Inc., Harmonic Inc., Knowles Corporation, Lions Gate Entertainment Corp., The Marcus Corporation, and WildBrain Ltd. The performance period includes the COVID-19 pandemic, which significantly impacted the out-of-home entertainment industry. The impact of the pandemic on the Company’s operations are discussed elsewhere herein. </w:t>
      </w:r>
    </w:p>
    <w:p>
      <w:pPr>
        <w:pStyle w:val="TextBody"/>
        <w:bidi w:val="0"/>
        <w:spacing w:before="200" w:after="283"/>
        <w:jc w:val="both"/>
        <w:rPr/>
      </w:pPr>
      <w:r>
        <w:rPr/>
        <w:t> </w:t>
      </w:r>
    </w:p>
    <w:p>
      <w:pPr>
        <w:pStyle w:val="TextBody"/>
        <w:bidi w:val="0"/>
        <w:spacing w:before="200" w:after="283"/>
        <w:jc w:val="center"/>
        <w:rPr/>
      </w:pPr>
      <w:r>
        <w:rPr/>
        <w:drawing>
          <wp:inline distT="0" distB="0" distL="0" distR="0">
            <wp:extent cx="6858000" cy="463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4638675"/>
                    </a:xfrm>
                    <a:prstGeom prst="rect">
                      <a:avLst/>
                    </a:prstGeom>
                  </pic:spPr>
                </pic:pic>
              </a:graphicData>
            </a:graphic>
          </wp:inline>
        </w:drawing>
      </w:r>
      <w:r>
        <w:rPr/>
        <w:t> </w:t>
      </w:r>
    </w:p>
    <w:p>
      <w:pPr>
        <w:pStyle w:val="TextBody"/>
        <w:bidi w:val="0"/>
        <w:spacing w:before="200" w:after="283"/>
        <w:jc w:val="center"/>
        <w:rPr/>
      </w:pPr>
      <w:r>
        <w:rPr/>
        <w:t> </w:t>
      </w:r>
    </w:p>
    <w:p>
      <w:pPr>
        <w:pStyle w:val="TextBody"/>
        <w:bidi w:val="0"/>
        <w:spacing w:before="200" w:after="283"/>
        <w:jc w:val="center"/>
        <w:rPr/>
      </w:pPr>
      <w:r>
        <w:rPr/>
        <w:drawing>
          <wp:inline distT="0" distB="0" distL="0" distR="0">
            <wp:extent cx="6219825"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9825" cy="9239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12, 2017, the Company announced that the Board approved a $200.0 million share repurchase program for its common shares that would have initially expired on June 30, 2020, which was subsequently extended and increased in the total share repurchase authority to $400.0 million. In 2023, the Company’s Board approved a 36-month extension to its share repurchase program through June 30, 2026. As of December 31, 2023, the Company had $167.0 million authorized for repurchase under its approved share repurchase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During the three months ended December 31, 2023, the Company repurchased 1,459,948 common shares at an average price of $16.55 per share, for a total of $24.2 million, excluding commissions, of which 108,393 were common shares where settlement occurred subsequent to December 31, 2023, at an average price of $14.98 per share, for a total of $1.6 million, excluding commission.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and December 31, 2022, the IMAX LTIP trustee did not hold any shares. Any shares held with the trustee are recorded at cost and are reported as a reduction against Capital Stock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December 31, 2023 and through February 26, 2024, the Company completed repurchases through a 10b5-1 program of 1,158,724 shares at an average of $13.99 per share, for a total cost of $16.2 million, excluding commission.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common share repurchase program activity for the three months ended December 31, 2023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02"/>
        <w:gridCol w:w="146"/>
        <w:gridCol w:w="177"/>
        <w:gridCol w:w="1131"/>
        <w:gridCol w:w="146"/>
        <w:gridCol w:w="146"/>
        <w:gridCol w:w="324"/>
        <w:gridCol w:w="224"/>
        <w:gridCol w:w="879"/>
        <w:gridCol w:w="146"/>
        <w:gridCol w:w="146"/>
        <w:gridCol w:w="206"/>
        <w:gridCol w:w="1318"/>
        <w:gridCol w:w="146"/>
        <w:gridCol w:w="146"/>
        <w:gridCol w:w="214"/>
        <w:gridCol w:w="148"/>
        <w:gridCol w:w="1163"/>
        <w:gridCol w:w="197"/>
      </w:tblGrid>
      <w:tr>
        <w:trPr/>
        <w:tc>
          <w:tcPr>
            <w:tcW w:w="3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value of</w:t>
              <w:br/>
              <w:t>shares that may yet</w:t>
              <w:br/>
              <w:t>be purchased under</w:t>
              <w:br/>
              <w:t>the program</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through October 31, 2023</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3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184,936,439</w:t>
            </w:r>
          </w:p>
        </w:tc>
        <w:tc>
          <w:tcPr>
            <w:tcW w:w="197" w:type="dxa"/>
            <w:tcBorders/>
            <w:shd w:fill="CFF0FC" w:val="clear"/>
            <w:vAlign w:val="center"/>
          </w:tcPr>
          <w:p>
            <w:pPr>
              <w:pStyle w:val="TableContents"/>
              <w:bidi w:val="0"/>
              <w:spacing w:before="0" w:after="283"/>
              <w:jc w:val="left"/>
              <w:rPr/>
            </w:pPr>
            <w:r>
              <w:rPr/>
              <w:t> </w:t>
            </w:r>
          </w:p>
        </w:tc>
      </w:tr>
      <w:tr>
        <w:trPr/>
        <w:tc>
          <w:tcPr>
            <w:tcW w:w="3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through November 30, 2023</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172,950,160</w:t>
            </w:r>
          </w:p>
        </w:tc>
        <w:tc>
          <w:tcPr>
            <w:tcW w:w="197" w:type="dxa"/>
            <w:tcBorders/>
            <w:shd w:fill="FFFFFF" w:val="clear"/>
            <w:vAlign w:val="center"/>
          </w:tcPr>
          <w:p>
            <w:pPr>
              <w:pStyle w:val="TableContents"/>
              <w:bidi w:val="0"/>
              <w:spacing w:before="0" w:after="283"/>
              <w:jc w:val="left"/>
              <w:rPr/>
            </w:pPr>
            <w:r>
              <w:rPr/>
              <w:t> </w:t>
            </w:r>
          </w:p>
        </w:tc>
      </w:tr>
      <w:tr>
        <w:trPr/>
        <w:tc>
          <w:tcPr>
            <w:tcW w:w="3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through December 31, 2023</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167,042,020</w:t>
            </w:r>
          </w:p>
        </w:tc>
        <w:tc>
          <w:tcPr>
            <w:tcW w:w="197" w:type="dxa"/>
            <w:tcBorders/>
            <w:shd w:fill="CFF0FC" w:val="clear"/>
            <w:vAlign w:val="center"/>
          </w:tcPr>
          <w:p>
            <w:pPr>
              <w:pStyle w:val="TableContents"/>
              <w:bidi w:val="0"/>
              <w:spacing w:before="0" w:after="283"/>
              <w:jc w:val="left"/>
              <w:rPr/>
            </w:pPr>
            <w:r>
              <w:rPr/>
              <w:t> </w:t>
            </w:r>
          </w:p>
        </w:tc>
      </w:tr>
      <w:tr>
        <w:trPr/>
        <w:tc>
          <w:tcPr>
            <w:tcW w:w="3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311"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2022, IMAX China’s shareholders granted its Board of Directors (the “IMAX China Board”) a general mandate authorizing the IMAX China Board, subject to applicable laws, to repurchase shares of IMAX China not to exceed 10% of the total number of issued shares as of June 23, 2022 (34,063,480 shares). This program expired on the date of the 2023 Annual General Meeting of IMAX China on June 7, 2023. During the 2023 Annual General Meeting, shareholders approved the repurchase of shares of IMAX China not to exceed 10% of the total number of shares as of June 7,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2023, IMAX China repurchased 16,800 common shares at an average price of HKD 7.11 per share ($0.91 per share) for a total of HKD 0.1 million or less than $0.1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2023 and 2022, there were no shares purchases in the administration of employee share-based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the material terms and conditions of the Company’s revolving credit facility, which include a limitation of the amount of permitted share repurchases, is provided in Note 14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Issuer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17(c) to Consolidated Financial Statements in Part II, Item 8.</w:t>
      </w:r>
    </w:p>
    <w:p>
      <w:pPr>
        <w:pStyle w:val="TextBody"/>
        <w:bidi w:val="0"/>
        <w:spacing w:before="200" w:after="283"/>
        <w:jc w:val="both"/>
        <w:rPr>
          <w:rFonts w:ascii="Times New Roman" w:hAnsi="Times New Roman"/>
          <w:sz w:val="20"/>
        </w:rPr>
      </w:pPr>
      <w:bookmarkStart w:id="12" w:name="item_6_selected_financial_data"/>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Selected Financial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Reserved.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item_7_managements_discussion_analysis_f"/>
      <w:bookmarkEnd w:id="13"/>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pStyle w:val="TextBody"/>
        <w:bidi w:val="0"/>
        <w:spacing w:before="200" w:after="283"/>
        <w:jc w:val="both"/>
        <w:rPr>
          <w:rFonts w:ascii="Times New Roman" w:hAnsi="Times New Roman"/>
          <w:sz w:val="20"/>
        </w:rPr>
      </w:pPr>
      <w:r>
        <w:rPr>
          <w:rFonts w:ascii="Times New Roman" w:hAnsi="Times New Roman"/>
          <w:color w:val="000000"/>
          <w:sz w:val="20"/>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hAnsi="Times New Roman"/>
          <w:color w:val="000000"/>
          <w:sz w:val="13"/>
        </w:rPr>
        <w:t>®</w:t>
      </w:r>
      <w:r>
        <w:rPr>
          <w:rFonts w:ascii="Times New Roman" w:hAnsi="Times New Roman"/>
          <w:color w:val="000000"/>
          <w:sz w:val="20"/>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leverages its proprietary technology and engineering in all aspects of its business, which principally consists of the IMAX film remastering (“IMAX Film Remastering” and formerly known as “IMAX DMR”) and the sale or lease of premium IMAX theater systems (“IMAX System(s)”).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Systems are based on proprietary and patented image, audio and other technology developed over the course of the Company’s history since its founding in 1967. The customers for IMAX Systems are principally theatrical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to exhibitor customers along with a license to use its trademarks and ongoing maintenance services for which there is an annual payment by the exhibitor to IMAX.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has the largest global premium format network, more than double the size of its nearest competitor. As of December 31, 2023, there were 1,772 IMAX Systems operating in 90 countries and territories, including 1,693 commercial multiplexes, 12 commercial destinations, and 67 institutional locations in the Company’s global network. This compares to 1,716 IMAX Systems in 87 countries and territories as of December 31, 2022, including 1,633 commercial multiplexes, 12 commercial destinations, and 71 institutional locations in the Company’s global network. Additional information on the composition of the IMAX network is provided in the discussion of IMAX Network and Backlog.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Systems provide the Company’s exhibitor customers with a combination of the following benefits: </w:t>
      </w:r>
    </w:p>
    <w:p>
      <w:pPr>
        <w:pStyle w:val="TextBody"/>
        <w:bidi w:val="0"/>
        <w:spacing w:before="200" w:after="240"/>
        <w:jc w:val="both"/>
        <w:rPr>
          <w:color w:val="000000"/>
        </w:rPr>
      </w:pPr>
      <w:r>
        <w:rPr>
          <w:color w:val="000000"/>
        </w:rPr>
        <w: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 xml:space="preserve">the ability to exhibit content that has been enhanced through the IMAX Film Remastering, which results in higher image and sound fidelity than conventional cinema experiences;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advanced, high-resolution projectors with specialized equipment and automated theater control systems, which generate significantly more contrast and brightness than conventional theater systems;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large screens and proprietary auditorium geometry, which result in a substantially larger field of view so that the screen extends to the edge of a viewer’s peripheral vision and creates more realistic images;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advanced sound system components, which deliver more expansive sound imagery and pinpointed origination of sound to any specific spot in an auditorium equipped with an IMAX System;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specialized theater acoustics, which result in a four-fold reduction in background noise;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ongoing maintenance and extended warranty services;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license to the globally recognized IMAX brand as well as benefits from IMAX marketing of films being shown in its network and IMAX’s growing social media followership.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select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with up to 67% more image.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Together, these components cause audiences in IMAX locations to feel as if they are a part of the on-screen action, creating a more intense, immersive, and exciting experience than a conventional cinematic format.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a result of the engineering and scientific achievements that are a hallmark of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13"/>
        </w:rPr>
        <w:t>®</w:t>
      </w:r>
      <w:r>
        <w:rPr>
          <w:rFonts w:ascii="Times New Roman" w:hAnsi="Times New Roman"/>
          <w:color w:val="000000"/>
          <w:sz w:val="20"/>
        </w:rPr>
        <w:t>, the Company’s exhibitor customers typically charge a premium for films released in IMAX’s format versus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combined with IMAX’s unmatched global network footprint and scale has helped establish IMAX as the key premium distribution and marketing platform for Hollywood and foreign local language movie studios.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achieved its second highest grossing year at the global box office (“GBO”) and its highest grossing year at the Domestic, United States and Canada combined, box office in 2023. The year was highlighted by the Company’s highest grossing year for local language films, the $180.4 million in IMAX box office generated by Christopher Nolan’s </w:t>
      </w:r>
      <w:r>
        <w:rPr>
          <w:rFonts w:ascii="Times New Roman" w:hAnsi="Times New Roman"/>
          <w:i/>
          <w:color w:val="000000"/>
          <w:sz w:val="20"/>
        </w:rPr>
        <w:t>Oppenheimer</w:t>
      </w:r>
      <w:r>
        <w:rPr>
          <w:rFonts w:ascii="Times New Roman" w:hAnsi="Times New Roman"/>
          <w:color w:val="000000"/>
          <w:sz w:val="20"/>
        </w:rPr>
        <w:t>, and strong indexing across titles including S</w:t>
      </w:r>
      <w:r>
        <w:rPr>
          <w:rFonts w:ascii="Times New Roman" w:hAnsi="Times New Roman"/>
          <w:i/>
          <w:color w:val="000000"/>
          <w:sz w:val="20"/>
        </w:rPr>
        <w:t>uper Mario Bros., Guardians of the Galaxy Vol. 3, Spider-Man: Across the Spider-Verse</w:t>
      </w:r>
      <w:r>
        <w:rPr>
          <w:rFonts w:ascii="Times New Roman" w:hAnsi="Times New Roman"/>
          <w:color w:val="000000"/>
          <w:sz w:val="20"/>
        </w:rPr>
        <w:t xml:space="preserve">, and </w:t>
      </w:r>
      <w:r>
        <w:rPr>
          <w:rFonts w:ascii="Times New Roman" w:hAnsi="Times New Roman"/>
          <w:i/>
          <w:color w:val="000000"/>
          <w:sz w:val="20"/>
        </w:rPr>
        <w:t>Mission Impossible: Dead Reckoning.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cornerstone of the IMAX brand for more than 50 years, IMAX recently relaunched its IMAX Documentaries unit to focus on a new generation of narrative-driven original and acquired documentary films, as well as downstream revenue opportunities through partnerships with leading streaming platforms. Additional forthcoming IMAX original documentaries include </w:t>
      </w:r>
      <w:r>
        <w:rPr>
          <w:rFonts w:ascii="Times New Roman" w:hAnsi="Times New Roman"/>
          <w:i/>
          <w:color w:val="000000"/>
          <w:sz w:val="20"/>
        </w:rPr>
        <w:t>The Blue Angels</w:t>
      </w:r>
      <w:r>
        <w:rPr>
          <w:rFonts w:ascii="Times New Roman" w:hAnsi="Times New Roman"/>
          <w:color w:val="000000"/>
          <w:sz w:val="20"/>
        </w:rPr>
        <w:t xml:space="preserve"> and </w:t>
      </w:r>
      <w:r>
        <w:rPr>
          <w:rFonts w:ascii="Times New Roman" w:hAnsi="Times New Roman"/>
          <w:i/>
          <w:color w:val="000000"/>
          <w:sz w:val="20"/>
        </w:rPr>
        <w:t>The Elephant Odyssey</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The Company also continues to evolve its platform to bring new, innovative events and experiences to audiences worldwide. During the year, the Company partnered with A24 for the IMAX Live</w:t>
      </w:r>
      <w:r>
        <w:rPr>
          <w:rFonts w:ascii="Times New Roman" w:hAnsi="Times New Roman"/>
          <w:color w:val="000000"/>
          <w:sz w:val="13"/>
        </w:rPr>
        <w:t>TM</w:t>
      </w:r>
      <w:r>
        <w:rPr>
          <w:rFonts w:ascii="Times New Roman" w:hAnsi="Times New Roman"/>
          <w:color w:val="000000"/>
          <w:sz w:val="20"/>
        </w:rPr>
        <w:t xml:space="preserve"> 40</w:t>
      </w:r>
      <w:r>
        <w:rPr>
          <w:rFonts w:ascii="Times New Roman" w:hAnsi="Times New Roman"/>
          <w:color w:val="000000"/>
          <w:sz w:val="13"/>
        </w:rPr>
        <w:t>th</w:t>
      </w:r>
      <w:r>
        <w:rPr>
          <w:rFonts w:ascii="Times New Roman" w:hAnsi="Times New Roman"/>
          <w:color w:val="000000"/>
          <w:sz w:val="20"/>
        </w:rPr>
        <w:t xml:space="preserve"> anniversary screening of Jonathan Demme’s </w:t>
      </w:r>
      <w:r>
        <w:rPr>
          <w:rFonts w:ascii="Times New Roman" w:hAnsi="Times New Roman"/>
          <w:i/>
          <w:color w:val="000000"/>
          <w:sz w:val="20"/>
        </w:rPr>
        <w:t>Stop Making Sense</w:t>
      </w:r>
      <w:r>
        <w:rPr>
          <w:rFonts w:ascii="Times New Roman" w:hAnsi="Times New Roman"/>
          <w:color w:val="000000"/>
          <w:sz w:val="20"/>
        </w:rPr>
        <w:t xml:space="preserve"> at the Toronto International Film Festival, which became the highest grossing IMAX Live event of all time. In January 2024, the Company and Pathé Live in partnership with Mercury Studios and Queen Films released </w:t>
      </w:r>
      <w:r>
        <w:rPr>
          <w:rFonts w:ascii="Times New Roman" w:hAnsi="Times New Roman"/>
          <w:i/>
          <w:color w:val="000000"/>
          <w:sz w:val="20"/>
        </w:rPr>
        <w:t>Queen Rock Montreal</w:t>
      </w:r>
      <w:r>
        <w:rPr>
          <w:rFonts w:ascii="Times New Roman" w:hAnsi="Times New Roman"/>
          <w:color w:val="000000"/>
          <w:sz w:val="20"/>
        </w:rPr>
        <w:t xml:space="preserve">, a concert from 1981, exclusively in 450 IMAX locations globally.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has a footprint of 252 connected locations in the IMAX network across North America, Europe, and Asia were configured with connectivity to deliver live and interactive content with low latency and superior sight and sound.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premier global technology platform for entertainment and events, the Company strives to remain at the forefront of advancements in entertainment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pStyle w:val="TextBody"/>
        <w:bidi w:val="0"/>
        <w:spacing w:before="200" w:after="283"/>
        <w:jc w:val="both"/>
        <w:rPr>
          <w:rFonts w:ascii="Times New Roman" w:hAnsi="Times New Roman"/>
          <w:sz w:val="20"/>
        </w:rPr>
      </w:pPr>
      <w:r>
        <w:rPr>
          <w:rFonts w:ascii="Times New Roman" w:hAnsi="Times New Roman"/>
          <w:color w:val="000000"/>
          <w:sz w:val="20"/>
        </w:rPr>
        <w:t>In September 2022, the Company acquired SSIMWAVE Inc. (“SSIMWAVE”), a leader in artificial intelligence (“AI”)-driven video quality solutions for media and entertainment companies. The acquisition of SSIMWAVE marks a significant expansion of the Company’s streaming and consumer technology strategy to deliver the highest quality images on any screen, while also creating cost efficiencies to streaming companies, broadcasters and other companies that transmit visual data to drive new, recurring revenue and grow its global leadership in entertainment technology. In 2023, the Company formed a new business unit, Streaming and Consumer Technology to focus on in-home entertainment technology. The business unit includes the streaming technology acquired in the SSIMWAVE acquisition as well as IMAX Enhanced</w:t>
      </w:r>
      <w:r>
        <w:rPr>
          <w:rFonts w:ascii="Times New Roman" w:hAnsi="Times New Roman"/>
          <w:color w:val="000000"/>
          <w:sz w:val="13"/>
        </w:rPr>
        <w:t>®</w:t>
      </w:r>
      <w:r>
        <w:rPr>
          <w:rFonts w:ascii="Times New Roman" w:hAnsi="Times New Roman"/>
          <w:color w:val="000000"/>
          <w:sz w:val="20"/>
        </w:rPr>
        <w:t xml:space="preserve"> products and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utilizes AI for image enhancement, streaming technology, and data analysis to improve various aspects of its business. It is actively exploring other global use cases for AI to improve its products, operations, and efficiency.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December 31, 2023, the IMAX network includes 54 systems in Russia, eight systems in Ukraine, and one system in Belarus, and the Company’s backlog includes 14 systems in Russia, one system in Ukraine, and five systems in Belarus with a total fixed contracted value of $22.9 million. In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In 2023, due to the resumption of operations throughout Ukraine’s theatrical exhibition industry, as evidenced by the reopening of all IMAX Systems in Ukraine and payments received from exhibitor customers therein, the Company recognized maintenance revenue and finance income in connection with those theaters. The Company closely monitors geopolitical conflicts (including any government sanctions imposed in response thereto) and its effects on the global economy and the Company. (Refer to “Risk Factors — The Company conducts business internationally, which exposes it to uncertainties and risks that could negatively affect its operations, sales, and future growth prospects.” in Part I, Item 1A, and Note 2(b) to Consolidated Financial Statements in Part II, Item 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Court approved Cineworld’s Plan of Reorganization (the “Plan”) on June 28, 2023, in which Cineworld disclosed that it plans to emerge from the Chapter 11 proceedings on or about July 28, 2023. On August 30, 2023, the Company and Cineworld entered into a Joint Stipulation and Agreed Order which was entered by the Court on September 21, 2023 (the “Stipulation”) pursuant to which Cineworld assumed its global agreement with IMAX (the “Global Agreement”). The Stipulation provides that all amounts owed to IMAX will be paid by Cineworld and set out a revised timetable for all systems installations required of Cineworld under the Global Agreement. Cineworld has emerged from the Chapter 11 proceedings and the Stipulation finalizes all matters between IMAX and Cineworld as a result of the restructuring. The Company has determined that no additional provision for expected credit losses is required.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Additional information is provided in Note 21 to the Consolidated Financial Statements in Part II, Item 8.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Content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Content Solutions segment earns revenue principally from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Film Remastering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Film Remastering is a proprietary technology that digitally remasters films and other content into IMAX formats for distribution across the IMAX network. In a typical film remastering and distribution arrangement, the Company receives a percentage of the box office receipts from a movie studio in exchange for converting a commercial film into the IMAX format and distributing it across the IMAX network. The fee earned by the Company in a typical film remastering and distribution arrangement averages approximately 12.5% of box office receipts (i.e., GBO less applicable sales taxes), except for within Greater China, where the Company receives a lower percentage of net box office receipts for certain Hollywood films due to an import tax.</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IMAX Film Remastering digitally enhances the image resolution of films for projection on IMAX screens while maintaining or enhancing the visual clarity and sound quality to levels for which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20"/>
        </w:rPr>
        <w:t xml:space="preserve"> is known. In addition, the original soundtrack of a film to be exhibited across the IMAX network is remastered for IMAX digital sound systems. IMAX remastered soundtracks are uncompressed for full fidelity. IMAX sound systems use proprietary loudspeaker systems and proprietary surround sound configurations that ensure every seat in an auditorium is an optimal listening position.</w:t>
      </w:r>
    </w:p>
    <w:p>
      <w:pPr>
        <w:pStyle w:val="TextBody"/>
        <w:bidi w:val="0"/>
        <w:spacing w:before="200" w:after="283"/>
        <w:jc w:val="both"/>
        <w:rPr>
          <w:rFonts w:ascii="Times New Roman" w:hAnsi="Times New Roman"/>
          <w:sz w:val="20"/>
        </w:rPr>
      </w:pPr>
      <w:r>
        <w:rPr>
          <w:rFonts w:ascii="Times New Roman" w:hAnsi="Times New Roman"/>
          <w:color w:val="000000"/>
          <w:sz w:val="20"/>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 w:hAnsi="Times New Roman"/>
          <w:color w:val="000000"/>
          <w:sz w:val="13"/>
        </w:rPr>
        <w:t>®</w:t>
      </w:r>
      <w:r>
        <w:rPr>
          <w:rFonts w:ascii="Times New Roman" w:hAnsi="Times New Roman"/>
          <w:color w:val="000000"/>
          <w:sz w:val="20"/>
        </w:rPr>
        <w:t xml:space="preserve"> program for select films under which filmmakers craft films from their inception in numerous ways to optimize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Experience</w:t>
      </w:r>
      <w:r>
        <w:rPr>
          <w:rFonts w:ascii="Times New Roman" w:hAnsi="Times New Roman"/>
          <w:color w:val="000000"/>
          <w:sz w:val="20"/>
        </w:rPr>
        <w:t>. The program includes incremental and bespoke marketing support, which box office metrics demonstrate audiences respond extremely favorably to, and drives higher market share for IMAX.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France and South Korea. More recently, the Company has further diversified its strategy by distributing local language films in both native and foreign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detailed information about the films that were released to the Company’s global network during the years ended December 31, 2023 and 2022:</w:t>
      </w:r>
    </w:p>
    <w:tbl>
      <w:tblPr>
        <w:tblW w:w="6374" w:type="dxa"/>
        <w:jc w:val="left"/>
        <w:tblInd w:w="0" w:type="dxa"/>
        <w:tblLayout w:type="fixed"/>
        <w:tblCellMar>
          <w:top w:w="28" w:type="dxa"/>
          <w:left w:w="28" w:type="dxa"/>
          <w:bottom w:w="28" w:type="dxa"/>
          <w:right w:w="28" w:type="dxa"/>
        </w:tblCellMar>
      </w:tblPr>
      <w:tblGrid>
        <w:gridCol w:w="2951"/>
        <w:gridCol w:w="246"/>
        <w:gridCol w:w="146"/>
        <w:gridCol w:w="302"/>
        <w:gridCol w:w="716"/>
        <w:gridCol w:w="302"/>
        <w:gridCol w:w="302"/>
        <w:gridCol w:w="302"/>
        <w:gridCol w:w="716"/>
        <w:gridCol w:w="391"/>
      </w:tblGrid>
      <w:tr>
        <w:trPr/>
        <w:tc>
          <w:tcPr>
            <w:tcW w:w="29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29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left"/>
              <w:rPr/>
            </w:pPr>
            <w:r>
              <w:rPr/>
              <w:t> </w:t>
            </w:r>
          </w:p>
        </w:tc>
        <w:tc>
          <w:tcPr>
            <w:tcW w:w="101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Hollywood film releases</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language film releases:</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China</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Japan</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 Korea</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India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France</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Malaysia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Thailand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Indonesia</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local language film releases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film releases</w:t>
            </w:r>
            <w:r>
              <w:rPr>
                <w:rFonts w:ascii="Times New Roman" w:hAnsi="Times New Roman"/>
                <w:color w:val="000000"/>
                <w:sz w:val="13"/>
              </w:rPr>
              <w:t>(2)(3)</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one re-released film for the year ended December 31, 2023 (2022 — five).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films released to the Company’s global network include eight with IMAX DNA (2022 — 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Excludes three Alternative Content Experiences in 2023 (2022 — seven).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films distributed through the Company’s global network during the year ended December 31, 2023 include </w:t>
      </w:r>
      <w:r>
        <w:rPr>
          <w:rFonts w:ascii="Times New Roman" w:hAnsi="Times New Roman"/>
          <w:i/>
          <w:color w:val="000000"/>
          <w:sz w:val="20"/>
        </w:rPr>
        <w:t>Oppenheimer, The Super Mario Bros. Movie, The Wandering Earth 2, Guardians of the Galaxy Vol.3, Mission: Impossible - Dead Reckoning Part One, Ant-Man and the Wasp: Quantumania, Fast X, Creation of the Gods I: Kingdom of Storms, Spider-Man: Across the Spider-Verse, and Aquaman and the Lost Kingdom.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date, in 2024, 18 titles have been released to the global IMAX network, including three re-releases, and the Company has announced the following additional 24 titles to be released in 2024:</w:t>
      </w:r>
    </w:p>
    <w:p>
      <w:pPr>
        <w:pStyle w:val="TextBody"/>
        <w:bidi w:val="0"/>
        <w:jc w:val="both"/>
        <w:rPr/>
      </w:pPr>
      <w:r>
        <w:rPr/>
        <w:t> </w:t>
      </w:r>
    </w:p>
    <w:tbl>
      <w:tblPr>
        <w:tblW w:w="9217" w:type="dxa"/>
        <w:jc w:val="left"/>
        <w:tblInd w:w="0" w:type="dxa"/>
        <w:tblLayout w:type="fixed"/>
        <w:tblCellMar>
          <w:top w:w="28" w:type="dxa"/>
          <w:left w:w="28" w:type="dxa"/>
          <w:bottom w:w="28" w:type="dxa"/>
          <w:right w:w="28" w:type="dxa"/>
        </w:tblCellMar>
      </w:tblPr>
      <w:tblGrid>
        <w:gridCol w:w="2656"/>
        <w:gridCol w:w="146"/>
        <w:gridCol w:w="3376"/>
        <w:gridCol w:w="146"/>
        <w:gridCol w:w="1261"/>
        <w:gridCol w:w="146"/>
        <w:gridCol w:w="148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Studio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Release Date</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IMAX DNA</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Dune: Part II</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Pictures/Legendary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Kung Fu Panda 4</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Ghostbusters: Frozen Empire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Godzilla x Kong: The New Empire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Pictures/Legendary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Civil War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A24</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Spy x Family Code:White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Pictures/Crunchyroll</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The Fall Guy</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Kingdom of The Planet of The Apes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Furiosa</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Bad Boys 4</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Inside Out 2</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Studios/Pixar Animation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 Quiet Place: Day One</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Despicable Me 4</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Twisters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Pictures/Warner Bros.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Deadpool &amp; Wolverine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Marvel Studios/Walt Disney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Alien: Romulus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Walt Disney Studios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Kraven the Hunter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Pictures/Marvel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Beetlejuice 2</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Transformers One</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Wolfs</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Pictures/Apple</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Joker: Folie à Deux</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Warner Bros. Pictures/DC Studios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October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Venom 3</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Sony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Filmed For IMAX</w:t>
            </w:r>
          </w:p>
        </w:tc>
      </w:tr>
      <w:tr>
        <w:trPr/>
        <w:tc>
          <w:tcPr>
            <w:tcW w:w="2656" w:type="dxa"/>
            <w:tcBorders/>
            <w:shd w:fill="CFF0FC"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Untitled Gladiator Sequel</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Paramount Pictures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CFF0FC" w:val="clear"/>
            <w:vAlign w:val="center"/>
          </w:tcPr>
          <w:p>
            <w:pPr>
              <w:pStyle w:val="TableContents"/>
              <w:bidi w:val="0"/>
              <w:spacing w:before="0" w:after="283"/>
              <w:jc w:val="center"/>
              <w:rPr/>
            </w:pPr>
            <w:r>
              <w:rPr/>
              <w:t> </w:t>
            </w:r>
          </w:p>
        </w:tc>
        <w:tc>
          <w:tcPr>
            <w:tcW w:w="1486" w:type="dxa"/>
            <w:tcBorders/>
            <w:shd w:fill="CFF0FC" w:val="clear"/>
            <w:vAlign w:val="center"/>
          </w:tcPr>
          <w:p>
            <w:pPr>
              <w:pStyle w:val="TableContents"/>
              <w:bidi w:val="0"/>
              <w:spacing w:before="0" w:after="283"/>
              <w:jc w:val="center"/>
              <w:rPr>
                <w:color w:val="000000"/>
              </w:rPr>
            </w:pPr>
            <w:r>
              <w:rPr>
                <w:color w:val="000000"/>
              </w:rPr>
              <w:t>—</w:t>
            </w:r>
          </w:p>
        </w:tc>
      </w:tr>
      <w:tr>
        <w:trPr/>
        <w:tc>
          <w:tcPr>
            <w:tcW w:w="2656" w:type="dxa"/>
            <w:tcBorders/>
            <w:shd w:fill="FFFFFF" w:val="cle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Wicked – Part 1</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Universal Pictures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2024</w:t>
            </w:r>
          </w:p>
        </w:tc>
        <w:tc>
          <w:tcPr>
            <w:tcW w:w="14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scheduled release dates in the table above are subject to change, may vary by territory, and may not reflect the date(s) of limited premiere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2024 with an expectation to exceed the 59 local language films released in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Content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distributes large-format documentary films, primarily to institutional theaters. The Company receives as its distribution fee either a fixed amount or a fixed percentage of the box office receipts and, following the recoupment of its costs, is typically entitled to receive an additional percentage as participation revenues.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continues to believe that the IMAX network serves as a valuable platform to launch and distribute original content. The ownership rights to such films may be held by the film sponsors, the film investors and/or the Company. As of December 31, 2023, the Company has distribution rights with respect to approximately 60 films, which cover subjects such as space, wildlife, music, sports, history and natural wonders.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2023, the Company announced that Amazon Studios acquired worldwide rights to the Company’s original documentary, </w:t>
      </w:r>
      <w:r>
        <w:rPr>
          <w:rFonts w:ascii="Times New Roman" w:hAnsi="Times New Roman"/>
          <w:i/>
          <w:color w:val="000000"/>
          <w:sz w:val="20"/>
        </w:rPr>
        <w:t>The Blue Angels</w:t>
      </w:r>
      <w:r>
        <w:rPr>
          <w:rFonts w:ascii="Times New Roman" w:hAnsi="Times New Roman"/>
          <w:color w:val="000000"/>
          <w:sz w:val="20"/>
        </w:rPr>
        <w:t xml:space="preserve">, filmed with IMAX digital certified cameras, and produced in collaboration with Dolphin Entertainment, Bad Robot Productions, and Zipper Bros Films. The documentary is expected to be delivered in the second quarter of 2024. In October 2023, </w:t>
      </w:r>
      <w:r>
        <w:rPr>
          <w:rFonts w:ascii="Times New Roman" w:hAnsi="Times New Roman"/>
          <w:i/>
          <w:color w:val="000000"/>
          <w:sz w:val="20"/>
        </w:rPr>
        <w:t>Deep Sky</w:t>
      </w:r>
      <w:r>
        <w:rPr>
          <w:rFonts w:ascii="Times New Roman" w:hAnsi="Times New Roman"/>
          <w:color w:val="000000"/>
          <w:sz w:val="20"/>
        </w:rPr>
        <w:t xml:space="preserve">, a documentary on NASA’s Webb Telescope in collaboration with Crazy Boat Pictures Ltd. and filmmaker Nathaniel Kahn, was released to the IMAX network. In July 2023, the Company also announced the start of production of </w:t>
      </w:r>
      <w:r>
        <w:rPr>
          <w:rFonts w:ascii="Times New Roman" w:hAnsi="Times New Roman"/>
          <w:i/>
          <w:color w:val="000000"/>
          <w:sz w:val="20"/>
        </w:rPr>
        <w:t xml:space="preserve">The Elephant Odyssey, </w:t>
      </w:r>
      <w:r>
        <w:rPr>
          <w:rFonts w:ascii="Times New Roman" w:hAnsi="Times New Roman"/>
          <w:color w:val="000000"/>
          <w:sz w:val="20"/>
        </w:rPr>
        <w:t>a documentary in collaboration with Beach House Pictures Pte Ltd and China International Communications Group, which is expected to be released in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continues to evolve its platform to bring new, innovative IMAX events and experiences to audiences worldwide. As of December 31, 2023, the Company has a footprint of 252 connected locations in the IMAX network across the United States, Canada, Europe, and Asia configured with connectivity to deliver live and interactive events with low latency and superior sight and sound.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2023, the Company partnered with Metro-Goldwyn-Studios Inc. (“MGM”) for an IMAX premiere event, consisting of red carpet interviews and behind the scenes footage, followed by a special advanced screening of </w:t>
      </w:r>
      <w:r>
        <w:rPr>
          <w:rFonts w:ascii="Times New Roman" w:hAnsi="Times New Roman"/>
          <w:i/>
          <w:color w:val="000000"/>
          <w:sz w:val="20"/>
        </w:rPr>
        <w:t>Creed III</w:t>
      </w:r>
      <w:r>
        <w:rPr>
          <w:rFonts w:ascii="Times New Roman" w:hAnsi="Times New Roman"/>
          <w:color w:val="000000"/>
          <w:sz w:val="20"/>
        </w:rPr>
        <w:t xml:space="preserve">, which was released across the IMAX global network. The Company also hosted a reunion of the iconic band Talking Heads at the Toronto International Film Festival, followed by a screening of </w:t>
      </w:r>
      <w:r>
        <w:rPr>
          <w:rFonts w:ascii="Times New Roman" w:hAnsi="Times New Roman"/>
          <w:i/>
          <w:color w:val="000000"/>
          <w:sz w:val="20"/>
        </w:rPr>
        <w:t>Stop Making Sense</w:t>
      </w:r>
      <w:r>
        <w:rPr>
          <w:rFonts w:ascii="Times New Roman" w:hAnsi="Times New Roman"/>
          <w:color w:val="000000"/>
          <w:sz w:val="20"/>
        </w:rPr>
        <w:t xml:space="preserve">, before the movie was released to the IMAX network more broadly. This became the highest grossing IMAX Live event of all time. These events were broadcast live to much of the IMAX Domestic connected network. In January 2024, the Company and Pathé Live in partnership with Mercury Studios and Queen Films released </w:t>
      </w:r>
      <w:r>
        <w:rPr>
          <w:rFonts w:ascii="Times New Roman" w:hAnsi="Times New Roman"/>
          <w:i/>
          <w:color w:val="000000"/>
          <w:sz w:val="20"/>
        </w:rPr>
        <w:t>Queen Rock Montreal</w:t>
      </w:r>
      <w:r>
        <w:rPr>
          <w:rFonts w:ascii="Times New Roman" w:hAnsi="Times New Roman"/>
          <w:color w:val="000000"/>
          <w:sz w:val="20"/>
        </w:rPr>
        <w:t xml:space="preserve">, a concert from 1981, exclusively in 450 IMAX locations globally.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provides film post-production and quality control services for large-format films, whether produced by IMAX or third parties, and digital post-production services. In addition, the Company also provides IMAX film and digital cameras to content creators under the IMAX certified camera program.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Technology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Technology Product and Services segment earns revenue principally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pStyle w:val="TextBody"/>
        <w:bidi w:val="0"/>
        <w:spacing w:before="200" w:after="283"/>
        <w:jc w:val="left"/>
        <w:rPr>
          <w:rFonts w:ascii="Times New Roman" w:hAnsi="Times New Roman"/>
          <w:sz w:val="20"/>
        </w:rPr>
      </w:pPr>
      <w:r>
        <w:rPr>
          <w:rFonts w:ascii="Times New Roman" w:hAnsi="Times New Roman"/>
          <w:i/>
          <w:color w:val="000000"/>
          <w:sz w:val="20"/>
        </w:rPr>
        <w:t>Sales Arrangements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C</w:t>
      </w:r>
      <w:r>
        <w:rPr>
          <w:rFonts w:ascii="Times New Roman" w:hAnsi="Times New Roman"/>
          <w:color w:val="000000"/>
          <w:sz w:val="20"/>
        </w:rPr>
        <w:t>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Joint Revenue Sharing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Joint revenue sharing arrangements have been an important factor in the expansion of the Company’s commercial system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December 31, 2023, the Company had 924 locations under joint revenue sharing arrangements in its global commercial multiplex network. The Company also had contracts in backlog for 286 systems under joint revenue sharing arrangements as of December 31, 2023, including 234 new locations and 52 upgrades to existing locations.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IMAX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All Other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Streaming and Consumer Technology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Streaming and Consumer Technology includes the Company’s Streaming Technology software offerings and IMAX Enhanced product services. Streaming Technology consists of several software products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IMAX Stream Smart – works within existing video compression workflows to reduce bitrates and retain picture quality across all devices and formats and deliver significant cost savings.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IMAX StreamAware On-Demand – all-in-one quality assurance and quality control to automate and standardize checks for comprehensive content integrity and regulatory compliance for third-party content libraries, across an entire video compression workflow.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IMAX StreamAware On-Air – real-time monitoring software for live streams, which enables users to monitor video quality across their networks and to identify and address streaming issues.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AI-powered products allow streaming platforms and broadcasters to automate workflows. The Company believes that these products allow users to deliver the highest quality viewing experiences to their subscribers while reducing costs.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IMAX Enhanced is a solution to bring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 xml:space="preserve">Experience </w:t>
      </w:r>
      <w:r>
        <w:rPr>
          <w:rFonts w:ascii="Times New Roman" w:hAnsi="Times New Roman"/>
          <w:color w:val="000000"/>
          <w:sz w:val="20"/>
        </w:rPr>
        <w:t>into the home. IMAX Enhanced provides end-to-end premium technology across streaming content and best-in-class entertainment devices, offering consumers high-fidelity playback of image and sound in the home and beyond, including the following features: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IMAX’s expanded aspect ratio, which is available on select titles and streaming platforms, including Disney+;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IMAX’s proprietary remastering technology, which produces more vivid, higher-fidelity 4K HDR images on premium televisions;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IMAX’s signature sound, which was specially recreated and calibrated for the home to unlock more immersive audio.</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To </w:t>
      </w:r>
      <w:r>
        <w:rPr>
          <w:rFonts w:ascii="Times New Roman" w:hAnsi="Times New Roman"/>
          <w:color w:val="000000"/>
          <w:sz w:val="20"/>
        </w:rPr>
        <w:t>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w:t>
      </w:r>
    </w:p>
    <w:p>
      <w:pPr>
        <w:pStyle w:val="TextBody"/>
        <w:bidi w:val="0"/>
        <w:spacing w:before="200" w:after="283"/>
        <w:jc w:val="both"/>
        <w:rPr>
          <w:rFonts w:ascii="Times New Roman" w:hAnsi="Times New Roman"/>
          <w:sz w:val="20"/>
        </w:rPr>
      </w:pPr>
      <w:r>
        <w:rPr>
          <w:rFonts w:ascii="Times New Roman" w:hAnsi="Times New Roman"/>
          <w:color w:val="000000"/>
          <w:sz w:val="20"/>
        </w:rPr>
        <w:t>At present, certified global device partners include Sony Electronics, Hisense, TCL, LG, Phillips, Hewlett Packard, Xiaomi, Sound United and Honor, among others. As of December 31, 2023, more than 300 IMAX Enhanced titles have been released across five of the biggest streaming platforms worldwide: Disney+, Sony Bravia CORE, Tencent Video, iQiyi and Rakuten TV. Over 15 million IMAX Enhanced certified devices are estimated to be in the market today</w:t>
      </w:r>
      <w:r>
        <w:rPr>
          <w:rFonts w:ascii="Times New Roman" w:hAnsi="Times New Roman"/>
          <w:color w:val="212529"/>
          <w:sz w:val="20"/>
        </w:rPr>
        <w:t>.</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The </w:t>
      </w:r>
      <w:r>
        <w:rPr>
          <w:rFonts w:ascii="Times New Roman" w:hAnsi="Times New Roman"/>
          <w:color w:val="000000"/>
          <w:sz w:val="20"/>
        </w:rPr>
        <w:t>Company's collaboration with Disney allows fans to stream 20 Disney titles in IMAX's expanded aspect ratio at home on Disney+. The presence of IMAX Enhanced on Disney+ provides strong brand exposure for IMAX by expanding the Company’s in-home entertainment footprint to Disney+ and most of its 150 million global subscribers. The Company believes that IMAX Enhanced enables an elevated end-to-end experience on Disney+, with IMAX signature sound coming to subscribers with IMAX Enhanced certified devices. IMAX Enhanced is part of the Company's next evolutionary step to extend the IMAX brand and technology further into new use cases, including streaming entertainment and the consumer electronics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“Risk Factors ― Failure to respond adequately or in a timely fashion to changes and advancements in technology could negatively affect the Company’s business.”)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Other also includes revenues from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also offering production advice and technical assistance to both documentary and Hollywood filmmakers.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IMAX NETWORK AND BACKLOG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Network</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 provides detailed information about the IMAX network by system type and geographic location as of December 31, 2023 and 2022: </w:t>
      </w:r>
    </w:p>
    <w:tbl>
      <w:tblPr>
        <w:tblW w:w="10913" w:type="dxa"/>
        <w:jc w:val="left"/>
        <w:tblInd w:w="0" w:type="dxa"/>
        <w:tblLayout w:type="fixed"/>
        <w:tblCellMar>
          <w:top w:w="28" w:type="dxa"/>
          <w:left w:w="28" w:type="dxa"/>
          <w:bottom w:w="28" w:type="dxa"/>
          <w:right w:w="28" w:type="dxa"/>
        </w:tblCellMar>
      </w:tblPr>
      <w:tblGrid>
        <w:gridCol w:w="1006"/>
        <w:gridCol w:w="146"/>
        <w:gridCol w:w="201"/>
        <w:gridCol w:w="790"/>
        <w:gridCol w:w="146"/>
        <w:gridCol w:w="146"/>
        <w:gridCol w:w="294"/>
        <w:gridCol w:w="697"/>
        <w:gridCol w:w="146"/>
        <w:gridCol w:w="146"/>
        <w:gridCol w:w="313"/>
        <w:gridCol w:w="678"/>
        <w:gridCol w:w="146"/>
        <w:gridCol w:w="146"/>
        <w:gridCol w:w="146"/>
        <w:gridCol w:w="571"/>
        <w:gridCol w:w="146"/>
        <w:gridCol w:w="146"/>
        <w:gridCol w:w="146"/>
        <w:gridCol w:w="201"/>
        <w:gridCol w:w="790"/>
        <w:gridCol w:w="146"/>
        <w:gridCol w:w="146"/>
        <w:gridCol w:w="294"/>
        <w:gridCol w:w="697"/>
        <w:gridCol w:w="146"/>
        <w:gridCol w:w="146"/>
        <w:gridCol w:w="313"/>
        <w:gridCol w:w="678"/>
        <w:gridCol w:w="146"/>
        <w:gridCol w:w="146"/>
        <w:gridCol w:w="146"/>
        <w:gridCol w:w="571"/>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Multiplex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Destination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Institutional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Multiplex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Destination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Institutional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Greater China</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Latin America</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Greater China includes China, Hong Kong, Taiwan, and Macau.</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Latin America includes South America, Central America, and Mexico.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Period-to-period changes in the table above are reported net of the effect of permanently closed locations.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currently estimates a worldwide commercial multiplex addressable market of 3,619 locations, of which there are 1,693 IMAX Systems operating as of December 31, 2023, representing a market penetration of only 46.8%. The Company believes that the majority of its future growth will come from international markets. As of December 31, 2023, 76% of IMAX Systems in operation were located within international markets (defined as all countries other than the United States and Canada) (2022 ― 74%). Revenues and GBO derived from international markets continue to exceed revenues and GBO from the United States and Canada.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Company’s revenues generated from its Greater China operations represents 25% of consolidated revenue, compared to 24% in 2022 and 44% in 2021. Restrictions resulting from the COVID-19 pandemic significantly impacted operations in China in 2022 and 2023. As of December 31, 2023, the Company had 807 IMAX Systems operating in Greater China with an additional 206 systems in backlog. The Company’s backlog in Greater China represents 46% of its total current backlog, including system upgrades.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provide detailed information about the commercial multiplex locations in operation within the IMAX network by arrangement type and geographic location as of December 31, 2023 and 2022:</w:t>
      </w:r>
    </w:p>
    <w:p>
      <w:pPr>
        <w:pStyle w:val="TextBody"/>
        <w:bidi w:val="0"/>
        <w:jc w:val="both"/>
        <w:rPr/>
      </w:pPr>
      <w:r>
        <w:rPr/>
        <w:t> </w:t>
      </w:r>
    </w:p>
    <w:tbl>
      <w:tblPr>
        <w:tblW w:w="9102" w:type="dxa"/>
        <w:jc w:val="left"/>
        <w:tblInd w:w="0" w:type="dxa"/>
        <w:tblLayout w:type="fixed"/>
        <w:tblCellMar>
          <w:top w:w="28" w:type="dxa"/>
          <w:left w:w="28" w:type="dxa"/>
          <w:bottom w:w="28" w:type="dxa"/>
          <w:right w:w="28" w:type="dxa"/>
        </w:tblCellMar>
      </w:tblPr>
      <w:tblGrid>
        <w:gridCol w:w="3466"/>
        <w:gridCol w:w="146"/>
        <w:gridCol w:w="239"/>
        <w:gridCol w:w="692"/>
        <w:gridCol w:w="169"/>
        <w:gridCol w:w="169"/>
        <w:gridCol w:w="169"/>
        <w:gridCol w:w="488"/>
        <w:gridCol w:w="169"/>
        <w:gridCol w:w="169"/>
        <w:gridCol w:w="428"/>
        <w:gridCol w:w="1237"/>
        <w:gridCol w:w="169"/>
        <w:gridCol w:w="169"/>
        <w:gridCol w:w="169"/>
        <w:gridCol w:w="663"/>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 Multiplex Locations in IMAX Network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Traditional</w:t>
              <w:br/>
              <w:t>JRSA</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Hybrid</w:t>
              <w:br/>
              <w:t>JRSA</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Sales Arrangements</w:t>
            </w:r>
            <w:r>
              <w:rPr>
                <w:rFonts w:ascii="Times New Roman" w:hAnsi="Times New Roman"/>
                <w:b/>
                <w:color w:val="000000"/>
                <w:sz w:val="11"/>
              </w:rPr>
              <w:t>(1)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Total (United States &amp; Canada)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65"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Total</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Worldwide Total</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02" w:type="dxa"/>
        <w:jc w:val="left"/>
        <w:tblInd w:w="0" w:type="dxa"/>
        <w:tblLayout w:type="fixed"/>
        <w:tblCellMar>
          <w:top w:w="28" w:type="dxa"/>
          <w:left w:w="28" w:type="dxa"/>
          <w:bottom w:w="28" w:type="dxa"/>
          <w:right w:w="28" w:type="dxa"/>
        </w:tblCellMar>
      </w:tblPr>
      <w:tblGrid>
        <w:gridCol w:w="3466"/>
        <w:gridCol w:w="146"/>
        <w:gridCol w:w="239"/>
        <w:gridCol w:w="692"/>
        <w:gridCol w:w="169"/>
        <w:gridCol w:w="169"/>
        <w:gridCol w:w="169"/>
        <w:gridCol w:w="488"/>
        <w:gridCol w:w="169"/>
        <w:gridCol w:w="169"/>
        <w:gridCol w:w="428"/>
        <w:gridCol w:w="1237"/>
        <w:gridCol w:w="169"/>
        <w:gridCol w:w="169"/>
        <w:gridCol w:w="169"/>
        <w:gridCol w:w="663"/>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 Multiplex Locations in IMAX Network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Traditional</w:t>
              <w:br/>
              <w:t>JRSA</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Hybrid</w:t>
              <w:br/>
              <w:t>JRSA</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Sales Arrangements</w:t>
            </w:r>
            <w:r>
              <w:rPr>
                <w:rFonts w:ascii="Times New Roman" w:hAnsi="Times New Roman"/>
                <w:b/>
                <w:color w:val="000000"/>
                <w:sz w:val="11"/>
              </w:rPr>
              <w:t>(1)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Total (United States &amp; Canada)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65"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sz w:val="4"/>
                <w:szCs w:val="4"/>
              </w:rPr>
            </w:pPr>
            <w:r>
              <w:rPr>
                <w:sz w:val="4"/>
                <w:szCs w:val="4"/>
              </w:rPr>
            </w:r>
          </w:p>
        </w:tc>
        <w:tc>
          <w:tcPr>
            <w:tcW w:w="169"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Total</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sz w:val="4"/>
                <w:szCs w:val="4"/>
              </w:rPr>
            </w:pPr>
            <w:r>
              <w:rPr>
                <w:sz w:val="4"/>
                <w:szCs w:val="4"/>
              </w:rPr>
            </w:r>
          </w:p>
        </w:tc>
        <w:tc>
          <w:tcPr>
            <w:tcW w:w="169"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Worldwide Total</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Includes Sales, Hybrid Sales and Sales-Type Lease deal types.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Period-to-period changes in the tables above are reported net of permanently closed systems.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Backlog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detailed information about the Company’s system backlog as of December 31, 2023 and 2022:</w:t>
      </w:r>
    </w:p>
    <w:tbl>
      <w:tblPr>
        <w:tblW w:w="10709" w:type="dxa"/>
        <w:jc w:val="left"/>
        <w:tblInd w:w="0" w:type="dxa"/>
        <w:tblLayout w:type="fixed"/>
        <w:tblCellMar>
          <w:top w:w="28" w:type="dxa"/>
          <w:left w:w="28" w:type="dxa"/>
          <w:bottom w:w="28" w:type="dxa"/>
          <w:right w:w="28" w:type="dxa"/>
        </w:tblCellMar>
      </w:tblPr>
      <w:tblGrid>
        <w:gridCol w:w="1276"/>
        <w:gridCol w:w="146"/>
        <w:gridCol w:w="146"/>
        <w:gridCol w:w="376"/>
        <w:gridCol w:w="146"/>
        <w:gridCol w:w="146"/>
        <w:gridCol w:w="146"/>
        <w:gridCol w:w="248"/>
        <w:gridCol w:w="488"/>
        <w:gridCol w:w="146"/>
        <w:gridCol w:w="146"/>
        <w:gridCol w:w="146"/>
        <w:gridCol w:w="196"/>
        <w:gridCol w:w="691"/>
        <w:gridCol w:w="146"/>
        <w:gridCol w:w="146"/>
        <w:gridCol w:w="146"/>
        <w:gridCol w:w="196"/>
        <w:gridCol w:w="601"/>
        <w:gridCol w:w="146"/>
        <w:gridCol w:w="146"/>
        <w:gridCol w:w="146"/>
        <w:gridCol w:w="146"/>
        <w:gridCol w:w="376"/>
        <w:gridCol w:w="146"/>
        <w:gridCol w:w="146"/>
        <w:gridCol w:w="146"/>
        <w:gridCol w:w="248"/>
        <w:gridCol w:w="488"/>
        <w:gridCol w:w="146"/>
        <w:gridCol w:w="146"/>
        <w:gridCol w:w="146"/>
        <w:gridCol w:w="196"/>
        <w:gridCol w:w="691"/>
        <w:gridCol w:w="146"/>
        <w:gridCol w:w="146"/>
        <w:gridCol w:w="146"/>
        <w:gridCol w:w="196"/>
        <w:gridCol w:w="601"/>
        <w:gridCol w:w="14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2" w:type="dxa"/>
            <w:gridSpan w:val="7"/>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2" w:type="dxa"/>
            <w:gridSpan w:val="7"/>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number of systems)</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Upgrade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Sales Arrangements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14,362</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Hybrid JRSA</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Traditional JRSA</w:t>
            </w:r>
            <w:r>
              <w:rPr>
                <w:rFonts w:ascii="Times New Roman" w:hAnsi="Times New Roman"/>
                <w:color w:val="000000"/>
                <w:sz w:val="12"/>
              </w:rPr>
              <w:t>(2)(3)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Sales, Hybrid Sales and Sales-Type Lease deal types.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30 IMAX Systems (2022 ― 38)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 (Refer to “Risk Factors ― The Company may not convert all of its backlog into revenue and cash flows.” in Part I, Item 1A.)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provide detailed information about the Company’s system backlog by arrangement type and geographic location as of December 31, 2023 and 2022:</w:t>
      </w:r>
    </w:p>
    <w:tbl>
      <w:tblPr>
        <w:tblW w:w="8819" w:type="dxa"/>
        <w:jc w:val="left"/>
        <w:tblInd w:w="0" w:type="dxa"/>
        <w:tblLayout w:type="fixed"/>
        <w:tblCellMar>
          <w:top w:w="28" w:type="dxa"/>
          <w:left w:w="28" w:type="dxa"/>
          <w:bottom w:w="28" w:type="dxa"/>
          <w:right w:w="28" w:type="dxa"/>
        </w:tblCellMar>
      </w:tblPr>
      <w:tblGrid>
        <w:gridCol w:w="3466"/>
        <w:gridCol w:w="146"/>
        <w:gridCol w:w="239"/>
        <w:gridCol w:w="692"/>
        <w:gridCol w:w="146"/>
        <w:gridCol w:w="146"/>
        <w:gridCol w:w="162"/>
        <w:gridCol w:w="469"/>
        <w:gridCol w:w="146"/>
        <w:gridCol w:w="146"/>
        <w:gridCol w:w="428"/>
        <w:gridCol w:w="1237"/>
        <w:gridCol w:w="146"/>
        <w:gridCol w:w="146"/>
        <w:gridCol w:w="146"/>
        <w:gridCol w:w="421"/>
        <w:gridCol w:w="146"/>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IMAX System 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Traditional</w:t>
              <w:br/>
              <w:t>JRSA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Hybrid</w:t>
              <w:br/>
              <w:t>JRSA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Sales Arrangements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Total (United States &amp; Canada)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Total</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Total</w:t>
            </w:r>
          </w:p>
        </w:tc>
        <w:tc>
          <w:tcPr>
            <w:tcW w:w="146" w:type="dxa"/>
            <w:tcBorders/>
            <w:shd w:fill="CFF0FC"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4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bl>
    <w:p>
      <w:pPr>
        <w:pStyle w:val="TextBody"/>
        <w:bidi w:val="0"/>
        <w:jc w:val="both"/>
        <w:rPr/>
      </w:pPr>
      <w:r>
        <w:rPr/>
        <w:t> </w:t>
      </w:r>
    </w:p>
    <w:tbl>
      <w:tblPr>
        <w:tblW w:w="8819" w:type="dxa"/>
        <w:jc w:val="left"/>
        <w:tblInd w:w="0" w:type="dxa"/>
        <w:tblLayout w:type="fixed"/>
        <w:tblCellMar>
          <w:top w:w="28" w:type="dxa"/>
          <w:left w:w="28" w:type="dxa"/>
          <w:bottom w:w="28" w:type="dxa"/>
          <w:right w:w="28" w:type="dxa"/>
        </w:tblCellMar>
      </w:tblPr>
      <w:tblGrid>
        <w:gridCol w:w="3466"/>
        <w:gridCol w:w="146"/>
        <w:gridCol w:w="239"/>
        <w:gridCol w:w="692"/>
        <w:gridCol w:w="146"/>
        <w:gridCol w:w="146"/>
        <w:gridCol w:w="162"/>
        <w:gridCol w:w="469"/>
        <w:gridCol w:w="146"/>
        <w:gridCol w:w="146"/>
        <w:gridCol w:w="428"/>
        <w:gridCol w:w="1237"/>
        <w:gridCol w:w="146"/>
        <w:gridCol w:w="146"/>
        <w:gridCol w:w="146"/>
        <w:gridCol w:w="421"/>
        <w:gridCol w:w="146"/>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IMAX System Backlog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Traditional</w:t>
              <w:br/>
              <w:t>JRSA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Hybrid</w:t>
              <w:br/>
              <w:t>JRSA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Sales Arrangements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Total (United States &amp; Canada)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Total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Total</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4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bl>
    <w:p>
      <w:pPr>
        <w:pStyle w:val="TextBody"/>
        <w:pBdr>
          <w:bottom w:val="single" w:sz="4" w:space="1" w:color="000000"/>
        </w:pBdr>
        <w:bidi w:val="0"/>
        <w:jc w:val="both"/>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Includes Sales, Hybrid Sales and Sales-Type Lease deal types.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239 new IMAX Laser Systems and 73 upgrades of existing locations to IMAX Laser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200 new IMAX Laser Systems and 89 upgrades of existing locations to IMAX Laser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Approximately 79% of IMAX System arrangements in backlog as of December 31, 2023 are scheduled to be installed in international markets (2022 ― 75%).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Signings and Installations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provide detailed information about IMAX System signings and installations for the years ended December 31, 2023 and 2022:</w:t>
      </w:r>
    </w:p>
    <w:tbl>
      <w:tblPr>
        <w:tblW w:w="5892" w:type="dxa"/>
        <w:jc w:val="left"/>
        <w:tblInd w:w="0" w:type="dxa"/>
        <w:tblLayout w:type="fixed"/>
        <w:tblCellMar>
          <w:top w:w="28" w:type="dxa"/>
          <w:left w:w="28" w:type="dxa"/>
          <w:bottom w:w="28" w:type="dxa"/>
          <w:right w:w="28" w:type="dxa"/>
        </w:tblCellMar>
      </w:tblPr>
      <w:tblGrid>
        <w:gridCol w:w="3156"/>
        <w:gridCol w:w="146"/>
        <w:gridCol w:w="204"/>
        <w:gridCol w:w="591"/>
        <w:gridCol w:w="204"/>
        <w:gridCol w:w="204"/>
        <w:gridCol w:w="204"/>
        <w:gridCol w:w="204"/>
        <w:gridCol w:w="442"/>
        <w:gridCol w:w="14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System Signings:</w:t>
            </w:r>
          </w:p>
        </w:tc>
        <w:tc>
          <w:tcPr>
            <w:tcW w:w="146" w:type="dxa"/>
            <w:tcBorders/>
            <w:shd w:fill="CFF0FC" w:val="clear"/>
            <w:vAlign w:val="center"/>
          </w:tcPr>
          <w:p>
            <w:pPr>
              <w:pStyle w:val="TableContents"/>
              <w:bidi w:val="0"/>
              <w:spacing w:before="0" w:after="283"/>
              <w:jc w:val="left"/>
              <w:rPr/>
            </w:pPr>
            <w:r>
              <w:rPr/>
              <w:t> </w:t>
            </w:r>
          </w:p>
        </w:tc>
        <w:tc>
          <w:tcPr>
            <w:tcW w:w="795"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46"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Sales Arrangements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1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Hybrid JRSA</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color w:val="000000"/>
              </w:rPr>
            </w:pPr>
            <w:r>
              <w:rPr>
                <w:color w:val="00000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1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Traditional JRSA</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Total IMAX System signings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System Installations</w:t>
            </w:r>
            <w:r>
              <w:rPr>
                <w:rFonts w:ascii="Times New Roman" w:hAnsi="Times New Roman"/>
                <w:b/>
                <w:color w:val="000000"/>
                <w:sz w:val="13"/>
              </w:rPr>
              <w:t>(3)</w:t>
            </w: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5"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46"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Sales Arrangements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1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Hybrid JRSA</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1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Traditional JRSA</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Total IMAX System installations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Includes Sales, Hybrid Sales and Sales-Type Lease deal types.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Includes 21 IMAX System upgrades (2022 ― 17 upgrades).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Three IMAX Xenon Systems were relocated from their original location (2022 ― 12).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42 IMAX System upgrades (2022 ― 36 upgrades).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accordance with United States Generally Accepted Accounting Principles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2 to Consolidated Financial Statements in Part II, Item 8.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evaluates each of the performance obligations in an IMAX System arrangement to determine which are considered distinct, either individually or in a group, for accounting purposes and which of the deliverables represent separate performance obligations. The transaction price in an IMAX System arrangement is allocated to each good or service that is identified as a separate performance obligation based on estimated standalone selling prices. This allocation is based on observable prices when the Company sells the good or service separately.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 the location.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Constraints on the Recognition of Variable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for the System Obligation, other than for IMAX Systems delivered pursuant to joint revenue sharing arrangements,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location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are used. The resulting amount of variable consideration is then recorded at its present value as of the date of recognition using a risk-weighted discount rate. The Company reviews its variable consideration assets on at least a quarterly basis considering recent box office performance and, when applicable, updated box office projections for future periods. </w:t>
      </w:r>
    </w:p>
    <w:p>
      <w:pPr>
        <w:pStyle w:val="TextBody"/>
        <w:bidi w:val="0"/>
        <w:spacing w:before="200" w:after="283"/>
        <w:jc w:val="both"/>
        <w:rPr>
          <w:rFonts w:ascii="Times New Roman" w:hAnsi="Times New Roman"/>
          <w:sz w:val="20"/>
        </w:rPr>
      </w:pPr>
      <w:r>
        <w:rPr>
          <w:rFonts w:ascii="Times New Roman" w:hAnsi="Times New Roman"/>
          <w:b/>
          <w:color w:val="000000"/>
          <w:sz w:val="20"/>
        </w:rPr>
        <w:t>Current Expected Credit Losses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8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Asset Impairments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Long-lived assets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Film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Valuation of Identifiable Intangible Assets Acquired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applies significant judgment in estimating the fair value of intangible assets. The estimates used to value the identifiable intangible assets acquired through the acquisition of SSIMWAVE are based in part on historical experience and information obtained from the management of the acquired business. The developed technology and in-process research and development acquired are valued utilizing income approaches, notable relief from royalty and multi-period excess earnings methods using discounted cash flow models. The significant estimates used in valuing these intangible assets include assumptions related to revenue and gross margin forecasts, attrition rate, royalty rate and discount rates. The estimates of fair value are based on assumptions believed to be reasonable at that time. If management made different estimates or judgments, material differences in the fair values of the net assets acquired may result.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estimates of fair value are based on assumptions believed to be reasonable at that time. If management made different estimates or judgments, material differences in the fair values of the net assets acquired may result.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4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issues share-based compensation to eligible employees, directors, and consultants under the IMAX Corporation Second Amended and Restated Long-Term Incentive Plan (as may be amended, the “IMAX LTIP”) and the China Long-Term Incentive Plan (the “China LTIP”) as summarized below. The IMAX LTIP is the Company’s governing document and awards to employees, directors, and consultants under this plan may consist of stock options, restricted share units (“RSUs”), performance stock units (“PSUs”) and other awards. A separate share-based compensation plan, the China LTIP, was adopted by a subsidiary of the Company in October 2012.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share-based compensation expense using the grant date fair value of the award (as defined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dollar value of the PSUs granted.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17(b)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Deferred Income Tax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Notes 12(d) and 12(g) of Notes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Uncertain Tax Positions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12(h) to Consolidated Financial Statements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3 to Consolidated Financial Statements in Part II, Item 8 for a discussion of recently issued accounting standards and their impact on the Company’s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business and future prospects are evaluated by Richard L. Gelfond, its Chief Executive Officer (“CEO”), using a variety of factors and financial and operational metrics including: (i) IMAX box office performance and the securing of new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including the integration and performance of SSIMWAVE, the distribution of live events to the IMAX network, and IMAX Enhanced,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20"/>
        </w:rPr>
        <w:t xml:space="preserve"> versus other out-of-home experiences; (vii) the overall execution, reliability, and consumer acceptance of </w:t>
      </w:r>
      <w:r>
        <w:rPr>
          <w:rFonts w:ascii="Times New Roman" w:hAnsi="Times New Roman"/>
          <w:i/>
          <w:color w:val="000000"/>
          <w:sz w:val="20"/>
        </w:rPr>
        <w:t xml:space="preserve">The </w:t>
      </w:r>
      <w:r>
        <w:rPr>
          <w:rFonts w:ascii="Times New Roman" w:hAnsi="Times New Roman"/>
          <w:color w:val="000000"/>
          <w:sz w:val="20"/>
        </w:rPr>
        <w:t xml:space="preserve">IMAX </w:t>
      </w:r>
      <w:r>
        <w:rPr>
          <w:rFonts w:ascii="Times New Roman" w:hAnsi="Times New Roman"/>
          <w:i/>
          <w:color w:val="000000"/>
          <w:sz w:val="20"/>
        </w:rPr>
        <w:t>Experience</w:t>
      </w:r>
      <w:r>
        <w:rPr>
          <w:rFonts w:ascii="Times New Roman" w:hAnsi="Times New Roman"/>
          <w:color w:val="000000"/>
          <w:sz w:val="20"/>
        </w:rPr>
        <w:t>; and (viii) short- and long-term cash flow projections.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CEO is the Company’s Chief Operating Decision Maker (“CODM”), as such term is determined under U.S. GAAP. The CODM, along with other members of management,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first quarter of 2023, the Company revised its internal segment reporting, including information provided to the CODM to assess performance and allocate resources. Accordingly, the Company has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reported within All Other. Prior period comparatives have been revised to conform with the current year presentation. Additional information on segment reporting is provided in Note 21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discussion of the Company’s results of operations below compares results for the years ended December 31, 2023 and 2022 as well as for the years ended December 31, 2022 and 2021.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 for the Years Ended December 31, 2023 and 2022</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believes that its 2023 results of operations showed the strength of IMAX’s business model and the increasing global demand for </w:t>
      </w:r>
      <w:r>
        <w:rPr>
          <w:rFonts w:ascii="Times New Roman" w:hAnsi="Times New Roman"/>
          <w:i/>
          <w:color w:val="000000"/>
          <w:sz w:val="20"/>
        </w:rPr>
        <w:t>The</w:t>
      </w:r>
      <w:r>
        <w:rPr>
          <w:rFonts w:ascii="Times New Roman" w:hAnsi="Times New Roman"/>
          <w:color w:val="000000"/>
          <w:sz w:val="20"/>
        </w:rPr>
        <w:t xml:space="preserve"> IMAX </w:t>
      </w:r>
      <w:r>
        <w:rPr>
          <w:rFonts w:ascii="Times New Roman" w:hAnsi="Times New Roman"/>
          <w:i/>
          <w:color w:val="000000"/>
          <w:sz w:val="20"/>
        </w:rPr>
        <w:t xml:space="preserve">Experience </w:t>
      </w:r>
      <w:r>
        <w:rPr>
          <w:rFonts w:ascii="Times New Roman" w:hAnsi="Times New Roman"/>
          <w:color w:val="000000"/>
          <w:sz w:val="20"/>
        </w:rPr>
        <w:t>by consumers, exhibitors, filmmakers, and studios. In 2023, the Company achieved a number of significant box office records reflecting the growing demand for IMAX. This contributed to the Company’s installation of 128 IMAX Systems compared to 92 in 2022, system signings of 129 IMAX Systems compared to 47 in 2022, and generating $58.6 million in net cash provided by the Company’s operating activities, compared to $17.3 million in the prior year.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Income (Loss) and Adjusted Net Income Attributable to Common Shareholders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net income (loss) attributable to common shareholders and the associated per share amounts, as well as adjusted net income attributable to common shareholders* and adjusted net income attributable to common shareholders per share* for the years ended December 31, 2023 and 2022:</w:t>
      </w:r>
    </w:p>
    <w:tbl>
      <w:tblPr>
        <w:tblW w:w="10205" w:type="dxa"/>
        <w:jc w:val="left"/>
        <w:tblInd w:w="0" w:type="dxa"/>
        <w:tblLayout w:type="fixed"/>
        <w:tblCellMar>
          <w:top w:w="28" w:type="dxa"/>
          <w:left w:w="28" w:type="dxa"/>
          <w:bottom w:w="28" w:type="dxa"/>
          <w:right w:w="28" w:type="dxa"/>
        </w:tblCellMar>
      </w:tblPr>
      <w:tblGrid>
        <w:gridCol w:w="3894"/>
        <w:gridCol w:w="146"/>
        <w:gridCol w:w="218"/>
        <w:gridCol w:w="700"/>
        <w:gridCol w:w="146"/>
        <w:gridCol w:w="146"/>
        <w:gridCol w:w="146"/>
        <w:gridCol w:w="374"/>
        <w:gridCol w:w="825"/>
        <w:gridCol w:w="146"/>
        <w:gridCol w:w="146"/>
        <w:gridCol w:w="146"/>
        <w:gridCol w:w="286"/>
        <w:gridCol w:w="998"/>
        <w:gridCol w:w="166"/>
        <w:gridCol w:w="146"/>
        <w:gridCol w:w="146"/>
        <w:gridCol w:w="347"/>
        <w:gridCol w:w="868"/>
        <w:gridCol w:w="215"/>
      </w:tblGrid>
      <w:tr>
        <w:trPr/>
        <w:tc>
          <w:tcPr>
            <w:tcW w:w="3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8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5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per share amounts)</w:t>
            </w:r>
          </w:p>
        </w:tc>
        <w:tc>
          <w:tcPr>
            <w:tcW w:w="146" w:type="dxa"/>
            <w:tcBorders/>
            <w:shd w:fill="FFFFFF" w:val="cle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Diluted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Diluted Share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shareholders</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15" w:type="dxa"/>
            <w:tcBorders/>
            <w:shd w:fill="FFFFFF" w:val="cle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Refer to “Non-GAAP Financial Measures” below for a description of this non-GAAP financial measure and a reconciliation to the most comparable GAAP amount.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 and Gross Margin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the year ended December 31, 2023, the Company’s revenues and gross margin increased by $74.0 million or 25% and $58.0 million or 37%, respectively, from 2022 principally due to the strength of the IMAX GBO performance through the distribution of films such as </w:t>
      </w:r>
      <w:r>
        <w:rPr>
          <w:rFonts w:ascii="Times New Roman" w:hAnsi="Times New Roman"/>
          <w:i/>
          <w:color w:val="000000"/>
          <w:sz w:val="20"/>
        </w:rPr>
        <w:t xml:space="preserve">Oppenheimer, Avatar: The Way of Water, The Super Mario Bros. Movie, The Wandering Earth 2, Guardians of the Galaxy Vol.3, Mission: Impossible - Dead Reckoning Part One, Ant-Man and the Wasp: Quantumania, Creation of the Gods I: Kingdom of Storms, </w:t>
      </w:r>
      <w:r>
        <w:rPr>
          <w:rFonts w:ascii="Times New Roman" w:hAnsi="Times New Roman"/>
          <w:color w:val="000000"/>
          <w:sz w:val="20"/>
        </w:rPr>
        <w:t xml:space="preserve">and </w:t>
      </w:r>
      <w:r>
        <w:rPr>
          <w:rFonts w:ascii="Times New Roman" w:hAnsi="Times New Roman"/>
          <w:i/>
          <w:color w:val="000000"/>
          <w:sz w:val="20"/>
        </w:rPr>
        <w:t xml:space="preserve">Spider-Man: Across the Spider-Verse </w:t>
      </w:r>
      <w:r>
        <w:rPr>
          <w:rFonts w:ascii="Times New Roman" w:hAnsi="Times New Roman"/>
          <w:color w:val="000000"/>
          <w:sz w:val="20"/>
        </w:rPr>
        <w:t xml:space="preserve">and record performance of local language content coupled with higher system sales and renewals in the current period.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revenue, gross margin and gross margin percentage by reportable segment for the years ended December 31, 2023 and 2022:</w:t>
      </w:r>
    </w:p>
    <w:tbl>
      <w:tblPr>
        <w:tblW w:w="10205" w:type="dxa"/>
        <w:jc w:val="left"/>
        <w:tblInd w:w="0" w:type="dxa"/>
        <w:tblLayout w:type="fixed"/>
        <w:tblCellMar>
          <w:top w:w="28" w:type="dxa"/>
          <w:left w:w="28" w:type="dxa"/>
          <w:bottom w:w="28" w:type="dxa"/>
          <w:right w:w="28" w:type="dxa"/>
        </w:tblCellMar>
      </w:tblPr>
      <w:tblGrid>
        <w:gridCol w:w="3158"/>
        <w:gridCol w:w="146"/>
        <w:gridCol w:w="211"/>
        <w:gridCol w:w="781"/>
        <w:gridCol w:w="146"/>
        <w:gridCol w:w="146"/>
        <w:gridCol w:w="211"/>
        <w:gridCol w:w="781"/>
        <w:gridCol w:w="146"/>
        <w:gridCol w:w="146"/>
        <w:gridCol w:w="211"/>
        <w:gridCol w:w="781"/>
        <w:gridCol w:w="146"/>
        <w:gridCol w:w="146"/>
        <w:gridCol w:w="211"/>
        <w:gridCol w:w="781"/>
        <w:gridCol w:w="146"/>
        <w:gridCol w:w="146"/>
        <w:gridCol w:w="147"/>
        <w:gridCol w:w="319"/>
        <w:gridCol w:w="271"/>
        <w:gridCol w:w="146"/>
        <w:gridCol w:w="147"/>
        <w:gridCol w:w="319"/>
        <w:gridCol w:w="416"/>
      </w:tblGrid>
      <w:tr>
        <w:trPr/>
        <w:tc>
          <w:tcPr>
            <w:tcW w:w="3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8"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All Other</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Other includes the results from Streaming and Consumer Technology and other ancillary activities.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Segment Operating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segment operating results are presented based on how the Company assesses operating performance and internally reports financial information. </w:t>
      </w:r>
      <w:r>
        <w:rPr>
          <w:rFonts w:ascii="Times New Roman" w:hAnsi="Times New Roman"/>
          <w:color w:val="1D1C1D"/>
          <w:sz w:val="20"/>
        </w:rPr>
        <w:t xml:space="preserve">See Note 21 </w:t>
      </w:r>
      <w:r>
        <w:rPr>
          <w:rFonts w:ascii="Times New Roman" w:hAnsi="Times New Roman"/>
          <w:color w:val="000000"/>
          <w:sz w:val="20"/>
        </w:rPr>
        <w:t xml:space="preserve">to Consolidated Financial Statements in Part II, Item 8 for additional information on the Company’s reportable segments.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Content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Content Solutions segment revenues and gross margin increased by $24.9 million or 24% to $126.7 million from $101.8 million and $22.9 million or 45% to $74.1 million from $51.2 million, respectively, when compared to the same period in 2022 principally due to better performance of the films distributed throughout the global IMAX network in 2023 including IMAX China, following the Chinese government relaxing its dynamic zero-COVID policies and easing capacity restrictions at the end of 2022.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GBO generated by IMAX films totaled $1.1 billion, a $209.3 million or 25% increase versus $849.7 million in 2022. The 2023 GBO was generated by the exhibition of 105 films, which consisted of 95 new films (2022 — 63), 10 carryovers (2022 — 10) and one re-release (2022 — five). The impact of changes in foreign currency valuations versus the U.S. Dollar led to a decrease in GBO of $23.0 million in 2023 as compared to prior year rates. The Company believes that if foreign currency exchange rates were consistent in 2023 and 2019 that IMAX GBO in 2023 would have exceeded its best box office year ever in 2019.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addition, for the year ended December 31, 2023, local language films exhibited across the Company’s global IMAX network generated over $227.2 million in IMAX GBO, representing 21% of the Company’s total box office. Leading local language titles distributed across the IMAX network during 2023 included the Chinese Filmed For IMAX title </w:t>
      </w:r>
      <w:r>
        <w:rPr>
          <w:rFonts w:ascii="Times New Roman" w:hAnsi="Times New Roman"/>
          <w:i/>
          <w:color w:val="000000"/>
          <w:sz w:val="20"/>
        </w:rPr>
        <w:t xml:space="preserve">The Wandering Earth 2, </w:t>
      </w:r>
      <w:r>
        <w:rPr>
          <w:rFonts w:ascii="Times New Roman" w:hAnsi="Times New Roman"/>
          <w:color w:val="000000"/>
          <w:sz w:val="20"/>
        </w:rPr>
        <w:t xml:space="preserve">which generated IMAX GBO of $48.6 million, the Chinese film </w:t>
      </w:r>
      <w:r>
        <w:rPr>
          <w:rFonts w:ascii="Times New Roman" w:hAnsi="Times New Roman"/>
          <w:i/>
          <w:color w:val="000000"/>
          <w:sz w:val="20"/>
        </w:rPr>
        <w:t xml:space="preserve">Creation of the Gods I: Kingdom of Storms </w:t>
      </w:r>
      <w:r>
        <w:rPr>
          <w:rFonts w:ascii="Times New Roman" w:hAnsi="Times New Roman"/>
          <w:color w:val="000000"/>
          <w:sz w:val="20"/>
        </w:rPr>
        <w:t xml:space="preserve">($32.5 million), the Chinese film </w:t>
      </w:r>
      <w:r>
        <w:rPr>
          <w:rFonts w:ascii="Times New Roman" w:hAnsi="Times New Roman"/>
          <w:i/>
          <w:color w:val="000000"/>
          <w:sz w:val="20"/>
        </w:rPr>
        <w:t xml:space="preserve">No More Bets </w:t>
      </w:r>
      <w:r>
        <w:rPr>
          <w:rFonts w:ascii="Times New Roman" w:hAnsi="Times New Roman"/>
          <w:color w:val="000000"/>
          <w:sz w:val="20"/>
        </w:rPr>
        <w:t xml:space="preserve">($11.2 million), and the Japanese anime film </w:t>
      </w:r>
      <w:r>
        <w:rPr>
          <w:rFonts w:ascii="Times New Roman" w:hAnsi="Times New Roman"/>
          <w:i/>
          <w:color w:val="000000"/>
          <w:sz w:val="20"/>
        </w:rPr>
        <w:t>The First Slam Dunk</w:t>
      </w:r>
      <w:r>
        <w:rPr>
          <w:rFonts w:ascii="Times New Roman" w:hAnsi="Times New Roman"/>
          <w:color w:val="000000"/>
          <w:sz w:val="20"/>
        </w:rPr>
        <w:t xml:space="preserve"> ($10.8 million). Despite accounting for approximately 1% of all Domestic screens and less than 1% of all screens globally in 2023, the IMAX network had a Domestic market share of 4.4% and a global market share of 3.2% in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the higher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year ended December 31, 2023, marketing expenses incurred towards films were $14.2 million compared to $17.3 million in 2022. Gross margin percent for the year ended December 31, 2023 was 58% compared to 50% for the same period in 2022 with the increase being driven by the operating leverage that results from achieving higher levels of box office with relatively fixed film distribution costs and strategic deployment of marketing dollars.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Technology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Technology Products and Services segment revenue and gross margin increased by $41.9 million or 22% to $234.3 million from $192.4 million and $28.9 million or 29% to $129.9 million from $101.1 million, respectively, when compared to the prior year. The higher level of revenue is driven in part by an increase of $16.9 million in system sales revenue as a result of 29 additional IMAX System installations under sales arrangements, including upgrades, partially offset by the impact of higher interest rates on future minimum payments and estimated variable consideration, the mix of contract types and lower aftermarket sales of 3D glasses.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contributing to the higher level of revenue was an increase of $13.8 million in Revenues — Technology Rentals, as a result of IMAX GBO earned from IMAX Systems under joint revenue sharing arrangements, which increased by $181.7 million or 42% in 2023 when compared to the prior year, from $433.1 million to $614.8 million, resulting from the higher level of box office performance discussed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Technology Products and Services segment gross margin increase of 29% year-over-year is primarily reflective of a higher number of IMAX System installations and higher Revenues — Technology Rentals earned through the Company’s joint revenue sharing arrangements, driven by the stronger box office performance, which led to incremental profit flow-through.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 provides detailed information about IMAX Systems installed and the associated revenue recognized at that time, except for traditional joint revenue sharing arrangement as revenue is recognized over the lease term, during the years ended December 31, 2023 and 2022: </w:t>
      </w:r>
    </w:p>
    <w:tbl>
      <w:tblPr>
        <w:tblW w:w="8993" w:type="dxa"/>
        <w:jc w:val="left"/>
        <w:tblInd w:w="0" w:type="dxa"/>
        <w:tblLayout w:type="fixed"/>
        <w:tblCellMar>
          <w:top w:w="28" w:type="dxa"/>
          <w:left w:w="28" w:type="dxa"/>
          <w:bottom w:w="28" w:type="dxa"/>
          <w:right w:w="28" w:type="dxa"/>
        </w:tblCellMar>
      </w:tblPr>
      <w:tblGrid>
        <w:gridCol w:w="4036"/>
        <w:gridCol w:w="146"/>
        <w:gridCol w:w="279"/>
        <w:gridCol w:w="606"/>
        <w:gridCol w:w="146"/>
        <w:gridCol w:w="146"/>
        <w:gridCol w:w="211"/>
        <w:gridCol w:w="676"/>
        <w:gridCol w:w="146"/>
        <w:gridCol w:w="146"/>
        <w:gridCol w:w="279"/>
        <w:gridCol w:w="606"/>
        <w:gridCol w:w="146"/>
        <w:gridCol w:w="146"/>
        <w:gridCol w:w="211"/>
        <w:gridCol w:w="676"/>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number of systems)</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New IMAX Systems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Upgraded IMAX Systems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w:t>
            </w:r>
          </w:p>
        </w:tc>
        <w:tc>
          <w:tcPr>
            <w:tcW w:w="3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48,941</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All 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All Other revenue and gross margin increased by $7.2 million and $6.2 million, respectively, when compared to the same period in 2022 principally due to growth in revenues earned by the Company’s Streaming and Consumer Technology business. Full year 2023 reflects the inclusion of both SSIMWAVE’s revenues as that acquisition was completed in late September 2022 and growth in the consumer technology business of IMAX Enhanced.</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 presents information about the Company’s Selling, General and Administrative Expenses for the years ended December 31, 2023 and 2022: </w:t>
      </w:r>
    </w:p>
    <w:tbl>
      <w:tblPr>
        <w:tblW w:w="10205" w:type="dxa"/>
        <w:jc w:val="left"/>
        <w:tblInd w:w="0" w:type="dxa"/>
        <w:tblLayout w:type="fixed"/>
        <w:tblCellMar>
          <w:top w:w="28" w:type="dxa"/>
          <w:left w:w="28" w:type="dxa"/>
          <w:bottom w:w="28" w:type="dxa"/>
          <w:right w:w="28" w:type="dxa"/>
        </w:tblCellMar>
      </w:tblPr>
      <w:tblGrid>
        <w:gridCol w:w="5748"/>
        <w:gridCol w:w="146"/>
        <w:gridCol w:w="211"/>
        <w:gridCol w:w="781"/>
        <w:gridCol w:w="146"/>
        <w:gridCol w:w="146"/>
        <w:gridCol w:w="211"/>
        <w:gridCol w:w="781"/>
        <w:gridCol w:w="146"/>
        <w:gridCol w:w="146"/>
        <w:gridCol w:w="211"/>
        <w:gridCol w:w="631"/>
        <w:gridCol w:w="166"/>
        <w:gridCol w:w="146"/>
        <w:gridCol w:w="589"/>
      </w:tblGrid>
      <w:tr>
        <w:trPr/>
        <w:tc>
          <w:tcPr>
            <w:tcW w:w="5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5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r>
      <w:tr>
        <w:trPr/>
        <w:tc>
          <w:tcPr>
            <w:tcW w:w="5748"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5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7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Share-based compensation</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5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 excluding 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portion of total share-based compensation expense is also recognized within Cost and Expenses Applicable to Revenue and Research and Development. Refer to Note 17(c)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Selling, General and Administrative Expenses reflects the inclusion of $5.2 million related to the Company’s Streaming Technology operation of SSIMWAVE, which was not included to the same extent in the prior year comparative as the acquisition was completed in late September 2022, and $3.3 million in non-recurring transaction expenses associated with the proposal to acquire the outstanding shares in IMAX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percentage of revenue, Selling, General and Administrative Expenses excluding share-based compensation improved to 33% as compared to 37% in 2022, which reflected strong operating leverage coupled with management's continued focus on cost discipline.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Research and Development expenses were $10.1 million, representing an increase of $4.8 million or 91% when compared to $5.3 million during the same period in the prior year, primarily driven by increased compensation expense of $1.0 million in Streaming and Consumer Technology business and $3.5 million in the Company’s other research and innovation initiatives. For the year ended December 31, 2023, expenses include $1.4 million specifically related to the Company’s Streaming and Consumer Technology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and 2022, 86 and 66 of the Company’s employees were connected with research and development projects, respectively.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Loss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Company recorded current expected credit losses of $1.8 million, as compared to credit losses of $8.5 million recognized in the prior year. The prior period expense was principally due to reserves established against substantially all of the Company’s receivables in Russia due to uncertainties associated with the ongoing Russia-Ukraine conflict and resulting sanctions, partially offset by the reversal of provisions associated with the COVID-19 pandemic as the outlook for the theatrical exhibition industry improved.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Consolidated Financial Statements are prepared and involve estimates about the future. As a result, the Company’s judgments and associated estimates of credit losses may ultimately prove, with the benefit of hindsight, to be incorrect.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Asset Impairments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 recorded asset impairments of $0.4 million principally related to the write-down of content-related assets which became impaired in the year.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Times New Roman" w:hAnsi="Times New Roman"/>
          <w:i/>
          <w:color w:val="000000"/>
          <w:sz w:val="20"/>
        </w:rPr>
        <w:t>Mozart from Space</w:t>
      </w:r>
      <w:r>
        <w:rPr>
          <w:rFonts w:ascii="Times New Roman" w:hAnsi="Times New Roman"/>
          <w:color w:val="000000"/>
          <w:sz w:val="20"/>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met the criteria for classification as a financial asset. The investment was measured at amortized cost less impairment losses and was recorded within Other Assets in the Consolidated Balance Sheets.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the year ended December 31, 2022, the Company recorded a full impairment of its RMB 30.0 million ($4.5 million) investment in </w:t>
      </w:r>
      <w:r>
        <w:rPr>
          <w:rFonts w:ascii="Times New Roman" w:hAnsi="Times New Roman"/>
          <w:i/>
          <w:color w:val="000000"/>
          <w:sz w:val="20"/>
        </w:rPr>
        <w:t>Mozart from Space</w:t>
      </w:r>
      <w:r>
        <w:rPr>
          <w:rFonts w:ascii="Times New Roman" w:hAnsi="Times New Roman"/>
          <w:color w:val="000000"/>
          <w:sz w:val="20"/>
        </w:rPr>
        <w:t xml:space="preserve"> based on projected box office results and distribution costs.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interest expense was $6.8 million, with $257.2 million of year-end total debt, representing an increase of $0.9 million or 15% when compared to interest expense of $5.9 million with $270.7 million of year-end total debt in the prior year. This increase is primarily due to cash flows as well as timing of borrowings and repayments of revolving credit facility borrowings made during the year in support of investments in the business, including capital expenditures to invest in equipment for joint revenue sharing arrangements as well as share repurchases, and the impact of higher interest rates in 2023. (Refer to Note 14 to Consolidated Financial Statements in Part II, Item 8.)</w:t>
      </w:r>
    </w:p>
    <w:p>
      <w:pPr>
        <w:pStyle w:val="TextBody"/>
        <w:bidi w:val="0"/>
        <w:spacing w:before="200" w:after="200"/>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year ended December 31, 2023, the Company recorded an income tax expense of $13.1 million (2022 — $10.1 million). The Company’s effective tax rate for year ended December 31, 2023 of 28.3% differs from the Canadian statutory tax rate of 26.5%, primarily due to tax rate differences in foreign jurisdictions, a reduction in tax reserves of $0.4 million (2022 — $1.6 million) and a net decrease in the valuation allowance related to deferred taxes of $0.7 million (2022 — increase of $16.8 million). This was offset by withholding taxes of $5.2 million (2022 — $3.8 million). The remainder of the difference was due to normal course movements and non-material items.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deferred tax liability for the applicable foreign withholding taxes decreased by $2.4 million (2022 — $2.7 million). During the year ended December 31, 2023, $24.0 million (2022 — $27.4 million) of historical earnings from a subsidiary in China were distributed and, as a result, $2.4 million (2022 — $2.7 million) of foreign withholding taxes were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relevant tax authorities. The remaining deferred tax liability on the Company’s Consolidated Balance Sheets as of December 31, 2023 is $12.5 million (2022 — $14.9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12 to Consolidated Financial Statements in Part II, Item 8 for more information on the Company’s tax position.)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Consolidated Financial Statements include the non-controlling interest in the net income or loss of IMAX China, as well as the impact of non-controlling interests in the activity of its Original Film Fund subsidiary. For the year ended December 31, 2023, the net income attributable to non-controlling interests of the Company’s subsidiaries was $7.7 million (2022 — $2.9 million), an increase of 164.5% or $4.8 million year-over-year. The increase reflects the recovery of IMAX China’s box office following the Chinese government relaxing its dynamic zero-COVID policies and easing capacity restrictions at the end of 2022 and an increasing level of consumer confidence in attending public gatherings.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Years Ended December 31, 2022 and 2021</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the first quarter </w:t>
      </w:r>
      <w:r>
        <w:rPr>
          <w:rFonts w:ascii="Times New Roman" w:hAnsi="Times New Roman"/>
          <w:color w:val="1D1C1D"/>
          <w:sz w:val="20"/>
        </w:rPr>
        <w:t xml:space="preserve">of 2023, the Company updated its reportable segments. See Note 21 </w:t>
      </w:r>
      <w:r>
        <w:rPr>
          <w:rFonts w:ascii="Times New Roman" w:hAnsi="Times New Roman"/>
          <w:color w:val="000000"/>
          <w:sz w:val="20"/>
        </w:rPr>
        <w:t xml:space="preserve">to Consolidated Financial Statements in Part II, Item 8. The following discussion and analysis related to the Company’s segment results for the years ended December 31, 2022 and 2021 have been revised to conform with the current year presentation.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discussion of the Company’s results of operations comparing results for the years ended December 31, 2022 and 2021 that was not impacted by the segment change is included under the section entitled “Results of Operations” in Item 7 of the Company’s Annual Report on Form 10-K for the fiscal year ended December 31, 2022, and is incorporated by reference into this Annual Report on Form 10-K for the fiscal year ended December 31, 2023.</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Loss and Adjusted Net Income (Loss) Attributable to Common Shareholders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Company’s net loss attributable to common shareholders and the associated per share amounts, as well as adjusted net income (loss) attributable to common shareholders* and adjusted net income (loss) attributable to common shareholders per share* for the years ended December 31, 2022 and 2021:</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14"/>
        <w:gridCol w:w="109"/>
        <w:gridCol w:w="299"/>
        <w:gridCol w:w="1046"/>
        <w:gridCol w:w="166"/>
        <w:gridCol w:w="109"/>
        <w:gridCol w:w="109"/>
        <w:gridCol w:w="232"/>
        <w:gridCol w:w="580"/>
        <w:gridCol w:w="166"/>
        <w:gridCol w:w="109"/>
        <w:gridCol w:w="109"/>
        <w:gridCol w:w="211"/>
        <w:gridCol w:w="736"/>
        <w:gridCol w:w="166"/>
        <w:gridCol w:w="109"/>
        <w:gridCol w:w="109"/>
        <w:gridCol w:w="232"/>
        <w:gridCol w:w="580"/>
        <w:gridCol w:w="214"/>
      </w:tblGrid>
      <w:tr>
        <w:trPr/>
        <w:tc>
          <w:tcPr>
            <w:tcW w:w="4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8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6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4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per share amounts)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 attributable to common shareholders*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the Company recorded a net non-cash provision of $6.9 million, or $0.12 per share, due to an increase in reserves given the uncertainty of collecting receivables in Russia. This provision was taken due to the ongoing conflict and resulting sanctions in Ukraine and covers substantially all of the Company’s net receivable exposure in the Russian market. Excluding the impact of this provision, net loss attributable to common shareholders* was $(15.9) million, or $(0.28) per share, and adjusted net income attributable to common shareholders* was $10.1 million, or $0.18 per share. Over the past five years, Russia has represented on average approximately 3% of the GBO generated by IMAX films.</w:t>
      </w:r>
    </w:p>
    <w:p>
      <w:pPr>
        <w:pStyle w:val="TextBody"/>
        <w:pBdr>
          <w:bottom w:val="single" w:sz="4" w:space="1" w:color="000000"/>
        </w:pBdr>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See “Non-GAAP Financial Measures” below for a description of this non-GAAP financial measure and a reconciliation to the most comparable GAAP amount.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Revenues and Gross Margin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the year ended December 31, 2022, the Company’s revenues and gross margin increased by $45.9 million or 18% and $21.9 million or 16%, respectively, when compared to the same period in 2021 principally due to the strength of the GBO performance through the distribution of films such as </w:t>
      </w:r>
      <w:r>
        <w:rPr>
          <w:rFonts w:ascii="Times New Roman" w:hAnsi="Times New Roman"/>
          <w:i/>
          <w:color w:val="000000"/>
          <w:sz w:val="20"/>
        </w:rPr>
        <w:t>Avatar: The Way of Water, Top Gun: Maverick</w:t>
      </w:r>
      <w:r>
        <w:rPr>
          <w:rFonts w:ascii="Times New Roman" w:hAnsi="Times New Roman"/>
          <w:color w:val="000000"/>
          <w:sz w:val="20"/>
        </w:rPr>
        <w:t xml:space="preserve">, </w:t>
      </w:r>
      <w:r>
        <w:rPr>
          <w:rFonts w:ascii="Times New Roman" w:hAnsi="Times New Roman"/>
          <w:i/>
          <w:color w:val="000000"/>
          <w:sz w:val="20"/>
        </w:rPr>
        <w:t>Doctor Strange in the Multiverse of Madness</w:t>
      </w:r>
      <w:r>
        <w:rPr>
          <w:rFonts w:ascii="Times New Roman" w:hAnsi="Times New Roman"/>
          <w:color w:val="000000"/>
          <w:sz w:val="20"/>
        </w:rPr>
        <w:t xml:space="preserve">, </w:t>
      </w:r>
      <w:r>
        <w:rPr>
          <w:rFonts w:ascii="Times New Roman" w:hAnsi="Times New Roman"/>
          <w:i/>
          <w:color w:val="000000"/>
          <w:sz w:val="20"/>
        </w:rPr>
        <w:t>Jurassic World Dominion</w:t>
      </w:r>
      <w:r>
        <w:rPr>
          <w:rFonts w:ascii="Times New Roman" w:hAnsi="Times New Roman"/>
          <w:color w:val="000000"/>
          <w:sz w:val="20"/>
        </w:rPr>
        <w:t xml:space="preserve">, </w:t>
      </w:r>
      <w:r>
        <w:rPr>
          <w:rFonts w:ascii="Times New Roman" w:hAnsi="Times New Roman"/>
          <w:i/>
          <w:color w:val="000000"/>
          <w:sz w:val="20"/>
        </w:rPr>
        <w:t>The Batman</w:t>
      </w:r>
      <w:r>
        <w:rPr>
          <w:rFonts w:ascii="Times New Roman" w:hAnsi="Times New Roman"/>
          <w:color w:val="000000"/>
          <w:sz w:val="20"/>
        </w:rPr>
        <w:t xml:space="preserve">, </w:t>
      </w:r>
      <w:r>
        <w:rPr>
          <w:rFonts w:ascii="Times New Roman" w:hAnsi="Times New Roman"/>
          <w:i/>
          <w:color w:val="000000"/>
          <w:sz w:val="20"/>
        </w:rPr>
        <w:t>Black Panther: Wakanda Forever,</w:t>
      </w:r>
      <w:r>
        <w:rPr>
          <w:rFonts w:ascii="Times New Roman" w:hAnsi="Times New Roman"/>
          <w:color w:val="000000"/>
          <w:sz w:val="20"/>
        </w:rPr>
        <w:t xml:space="preserve"> </w:t>
      </w:r>
      <w:r>
        <w:rPr>
          <w:rFonts w:ascii="Times New Roman" w:hAnsi="Times New Roman"/>
          <w:i/>
          <w:color w:val="000000"/>
          <w:sz w:val="20"/>
        </w:rPr>
        <w:t>Thor: Love and Thunder,</w:t>
      </w:r>
      <w:r>
        <w:rPr>
          <w:rFonts w:ascii="Times New Roman" w:hAnsi="Times New Roman"/>
          <w:color w:val="000000"/>
          <w:sz w:val="20"/>
        </w:rPr>
        <w:t xml:space="preserve"> </w:t>
      </w:r>
      <w:r>
        <w:rPr>
          <w:rFonts w:ascii="Times New Roman" w:hAnsi="Times New Roman"/>
          <w:i/>
          <w:color w:val="000000"/>
          <w:sz w:val="20"/>
        </w:rPr>
        <w:t>The Battle at Lake Changjin 2</w:t>
      </w:r>
      <w:r>
        <w:rPr>
          <w:rFonts w:ascii="Times New Roman" w:hAnsi="Times New Roman"/>
          <w:color w:val="000000"/>
          <w:sz w:val="20"/>
        </w:rPr>
        <w:t xml:space="preserve">, and </w:t>
      </w:r>
      <w:r>
        <w:rPr>
          <w:rFonts w:ascii="Times New Roman" w:hAnsi="Times New Roman"/>
          <w:i/>
          <w:color w:val="000000"/>
          <w:sz w:val="20"/>
        </w:rPr>
        <w:t>Spider-Man: No Way Home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Company’s revenue, gross margin and gross margin percentage by reportable segment for the years ended December 31, 2022 and 2021:</w:t>
      </w:r>
    </w:p>
    <w:tbl>
      <w:tblPr>
        <w:tblW w:w="10205" w:type="dxa"/>
        <w:jc w:val="left"/>
        <w:tblInd w:w="0" w:type="dxa"/>
        <w:tblLayout w:type="fixed"/>
        <w:tblCellMar>
          <w:top w:w="28" w:type="dxa"/>
          <w:left w:w="28" w:type="dxa"/>
          <w:bottom w:w="28" w:type="dxa"/>
          <w:right w:w="28" w:type="dxa"/>
        </w:tblCellMar>
      </w:tblPr>
      <w:tblGrid>
        <w:gridCol w:w="3158"/>
        <w:gridCol w:w="146"/>
        <w:gridCol w:w="211"/>
        <w:gridCol w:w="781"/>
        <w:gridCol w:w="146"/>
        <w:gridCol w:w="146"/>
        <w:gridCol w:w="211"/>
        <w:gridCol w:w="781"/>
        <w:gridCol w:w="146"/>
        <w:gridCol w:w="146"/>
        <w:gridCol w:w="211"/>
        <w:gridCol w:w="781"/>
        <w:gridCol w:w="146"/>
        <w:gridCol w:w="146"/>
        <w:gridCol w:w="211"/>
        <w:gridCol w:w="781"/>
        <w:gridCol w:w="146"/>
        <w:gridCol w:w="146"/>
        <w:gridCol w:w="147"/>
        <w:gridCol w:w="319"/>
        <w:gridCol w:w="271"/>
        <w:gridCol w:w="146"/>
        <w:gridCol w:w="147"/>
        <w:gridCol w:w="319"/>
        <w:gridCol w:w="416"/>
      </w:tblGrid>
      <w:tr>
        <w:trPr/>
        <w:tc>
          <w:tcPr>
            <w:tcW w:w="3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8"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All Other</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All Other includes the results from Streaming and Consumer Technology and other ancillary activities.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Segment Operating Results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segment operating results are presented based on how the Company assesses operating performance and internally report financial information. </w:t>
      </w:r>
      <w:r>
        <w:rPr>
          <w:rFonts w:ascii="Times New Roman" w:hAnsi="Times New Roman"/>
          <w:color w:val="1D1C1D"/>
          <w:sz w:val="20"/>
        </w:rPr>
        <w:t xml:space="preserve">See Note 21 </w:t>
      </w:r>
      <w:r>
        <w:rPr>
          <w:rFonts w:ascii="Times New Roman" w:hAnsi="Times New Roman"/>
          <w:color w:val="000000"/>
          <w:sz w:val="20"/>
        </w:rPr>
        <w:t xml:space="preserve">to Consolidated Financial Statements in Part II, Item 8 for additional information on the segments.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Content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2022, Content Solutions segment revenues and gross margin increased by $24.8 million or 32% to $101.8 million from $77.0 million and $6.0 million or 13% from $51.2 million from $45.3 million, respectively, when compared to the prior year.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performance of the films distributed through the IMAX network resulted in a $211.5 million or 33% increase in GBO, from $638.2 million in 2021 to $849.7 million in 2022, despite a 32% decline in Greater China box office driven by the COVID-19 restrictions instituted as part of China’s dynamic zero-COVID policy. This overall improvement in GBO earned through the global IMAX network for the year was partially offset by unfavorable foreign currency exchange rate movements. For the year ended December 31, 2022, GBO was generated by the exhibition of 78 films (63 new, 10 carryovers, and five re-releases), including </w:t>
      </w:r>
      <w:r>
        <w:rPr>
          <w:rFonts w:ascii="Times New Roman" w:hAnsi="Times New Roman"/>
          <w:i/>
          <w:color w:val="000000"/>
          <w:sz w:val="20"/>
        </w:rPr>
        <w:t>Avatar: The Way of Water</w:t>
      </w:r>
      <w:r>
        <w:rPr>
          <w:rFonts w:ascii="Times New Roman" w:hAnsi="Times New Roman"/>
          <w:color w:val="000000"/>
          <w:sz w:val="20"/>
        </w:rPr>
        <w:t xml:space="preserve">, which generated GBO of $140.2 million (or 11% market share) and </w:t>
      </w:r>
      <w:r>
        <w:rPr>
          <w:rFonts w:ascii="Times New Roman" w:hAnsi="Times New Roman"/>
          <w:i/>
          <w:color w:val="000000"/>
          <w:sz w:val="20"/>
        </w:rPr>
        <w:t>Top Gun: Maverick</w:t>
      </w:r>
      <w:r>
        <w:rPr>
          <w:rFonts w:ascii="Times New Roman" w:hAnsi="Times New Roman"/>
          <w:color w:val="000000"/>
          <w:sz w:val="20"/>
        </w:rPr>
        <w:t xml:space="preserve">, which generated GBO of $110.7 million (or 7% market share) in the year. During the year ended December 31, 2021, GBO was generated by the exhibition of 73 films (63 new, six carryovers and four re-releases).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the higher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year ended December 31, 2022, the impact of the higher level of Content Solutions Segment revenues was partially offset by higher marketing expenses of $17.3 million, as compared to $8.2 million in the prior year reflecting investments to drive higher levels of box office and enable the achievement of the Company’s highest global and domestic market share of 3% and 5%, respectively, in 2022. The Content Solutions segment gross margin was also impacted by investments in infrastructure costs, depreciation expense and network connection fees of $3.3 million to operate the IMAX connected network for the year ended December 31, 2022.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Technology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2022, Technology Products and Services segment revenue increased by $19.4 million or 11% to $192.4 million from $173.0 million while gross margin increased by $15.0 million or 17% to $101.1 million from $86.0 million, when compared to the prior year. The increase in revenue was primarily reflective of an increase of $15.6 million in Technology Rentals and $3.3 million in recurring maintenance revenue partially offset by a $2.7 million decrease in IMAX Systems revenue related to a lower number of system installations year-over-year.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increase in Technology rentals revenue earned through the Company’s joint revenue sharing arrangements, was driven by the stronger box office performance which led to incremental profit flow-through. IMAX GBO earned from IMAX Systems under joint revenue sharing arrangements increased by $94.0 million or 28% in 2022 when compared to the prior year, from $339.1 million to $433.1 million, resulting from the higher level of box office performance discussed above.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increase in IMAX Maintenance revenue was due to the continued global reopening of the IMAX network amidst the ongoing recovery of the theatrical exhibition industry from earlier stages of the COVID-19 pandemic, partially offset by a decrease of $1.2 million in revenue associated with systems in Russia, Ukraine, and Belarus, which were placed on nonaccrual status due to the ongoing Russia-Ukraine conflict and resulting sanctions.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year-over-year lower level of IMAX Systems revenue in 2022 was the result of four fewer IMAX System installations, including upgrades, in 2022 under sale and sales-type lease arrangements and a decrease of $1.1 million in Finance Income associated with locations in Russia, Ukraine, and Belarus, which were placed on nonaccrual status due to the ongoing Russia-Ukraine conflict and resulting sanctions. These factors were partially offset by an increase of $5.0 million from the impact of amendments to existing IMAX System arrangements, as well as an increase of $3.3 million as the Company ended the temporary relief on annual minimum payment obligations for exhibitor customers during the COVID-19 pandemic.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Technology Products and Services segment gross margin of $15.0 million, when compared to the prior year as costs Rentals including depreciation expense, advertising, marketing and system commission costs grew at a lower rate than revenue. This increase was partially offset by lower year-over-year profit contribution from maintenance revenue due to the profit flowthrough of $2.5 million in maintenance revenue recognized in 2021 that had been deferred from 2020 due to uncertainties associated with the COVID-19 pandemic. For the year ended December 31 2022, Technology Products and Services segment depreciation expense of $22.6 million was consistent with the prior year and advertising, marketing and commission costs of $2.2 million, compared to $4.3 million in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provides detailed information about IMAX Systems installed and the associated revenue recognized at that time, except for traditional joint revenue sharing arrangement as revenue is recognized over the lease term, during the years ended December 31, 2022 and 2021: </w:t>
      </w:r>
    </w:p>
    <w:p>
      <w:pPr>
        <w:pStyle w:val="TextBody"/>
        <w:bidi w:val="0"/>
        <w:jc w:val="both"/>
        <w:rPr/>
      </w:pPr>
      <w:r>
        <w:rPr/>
        <w:t> </w:t>
      </w:r>
    </w:p>
    <w:tbl>
      <w:tblPr>
        <w:tblW w:w="8497" w:type="dxa"/>
        <w:jc w:val="left"/>
        <w:tblInd w:w="0" w:type="dxa"/>
        <w:tblLayout w:type="fixed"/>
        <w:tblCellMar>
          <w:top w:w="28" w:type="dxa"/>
          <w:left w:w="28" w:type="dxa"/>
          <w:bottom w:w="28" w:type="dxa"/>
          <w:right w:w="28" w:type="dxa"/>
        </w:tblCellMar>
      </w:tblPr>
      <w:tblGrid>
        <w:gridCol w:w="4036"/>
        <w:gridCol w:w="109"/>
        <w:gridCol w:w="226"/>
        <w:gridCol w:w="659"/>
        <w:gridCol w:w="109"/>
        <w:gridCol w:w="109"/>
        <w:gridCol w:w="211"/>
        <w:gridCol w:w="676"/>
        <w:gridCol w:w="109"/>
        <w:gridCol w:w="109"/>
        <w:gridCol w:w="226"/>
        <w:gridCol w:w="659"/>
        <w:gridCol w:w="109"/>
        <w:gridCol w:w="109"/>
        <w:gridCol w:w="211"/>
        <w:gridCol w:w="676"/>
        <w:gridCol w:w="154"/>
      </w:tblGrid>
      <w:tr>
        <w:trPr/>
        <w:tc>
          <w:tcPr>
            <w:tcW w:w="4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number of systems)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Systems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Systems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IMAX Systems</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shd w:fill="CFF0FC" w:val="clear"/>
            <w:vAlign w:val="center"/>
          </w:tcPr>
          <w:p>
            <w:pPr>
              <w:pStyle w:val="TableContents"/>
              <w:bidi w:val="0"/>
              <w:spacing w:before="0" w:after="283"/>
              <w:jc w:val="left"/>
              <w:rPr>
                <w:sz w:val="4"/>
                <w:szCs w:val="4"/>
              </w:rPr>
            </w:pPr>
            <w:r>
              <w:rPr>
                <w:sz w:val="4"/>
                <w:szCs w:val="4"/>
              </w:rPr>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32,522</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shd w:fill="CFF0FC" w:val="clear"/>
            <w:vAlign w:val="center"/>
          </w:tcPr>
          <w:p>
            <w:pPr>
              <w:pStyle w:val="TableContents"/>
              <w:bidi w:val="0"/>
              <w:spacing w:before="0" w:after="283"/>
              <w:jc w:val="left"/>
              <w:rPr>
                <w:sz w:val="4"/>
                <w:szCs w:val="4"/>
              </w:rPr>
            </w:pPr>
            <w:r>
              <w:rPr>
                <w:sz w:val="4"/>
                <w:szCs w:val="4"/>
              </w:rPr>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Upgraded IMAX Systems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48,941</w:t>
            </w:r>
          </w:p>
        </w:tc>
        <w:tc>
          <w:tcPr>
            <w:tcW w:w="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59,660</w:t>
            </w:r>
          </w:p>
        </w:tc>
        <w:tc>
          <w:tcPr>
            <w:tcW w:w="1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All Other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All Other revenue and gross margin increased by $1.7 million and $1.0 million, respectively, when compared to the same period in 2021 principally due to the inclusion of SSIMWAVE’s revenues for three months as the acquisition was completed in late September 2022 as well as growth in the IMAX Enhanced consumer technology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FLOWS FOR THE YEARS ENDED DECEMBER 31, 2023 AND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discussion below compares the Company’s cash flows for the years ended December 31, 2023 and 2022. A comparison of the Company’s cash flows for the years ended December 31, 2022 and 2021 is included in the section entitled “Cash Flows” in Item 7 of the Company’s Annual Report on Form 10-K for the fiscal year ended December 31, 2022, and is incorporated by reference into this Annual Report on Form 10-K for the fiscal year ended December 31, 2023.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 office performance of films and other content distributed by the Company and/or released to IMAX locations, (iv) the level of inventory purchases and investment in joint revenue sharing arrangements, and (v) the level of the Company’s operating expenses, including expenses for research and development and new business initiatives.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net cash provided by the Company’s operating activities totaled $58.6 million, as compared to $17.3 million in the prior year, an improvement of $41.3 million. In 2023, the net cash provided by the Company’s operating activities is principally a result of revenue growth attributable to the record box office performance of the films distributed through the IMAX network, revenue from the installation of IMAX Systems and revenue associated with the amendments and renewals of IMAX Systems arrangements. This is partially offset by $20.3 million of variable consideration receivables resulting from incremental sales arrangements, including upgrades and amendments, and change in variable consideration estimate, and $20.4 million of expenditures incurred in connection with the development of Film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the net cash inflow from operating activities of $17.3 million was principally a function of the Company’s cash earnings, as well as Financing Receivables, partially offset by the increase in Accounts Receivable of $29.0 million resulting from revenue growth attributable to the strength of the box office performance of the films distributed through the IMAX network during the last quarter of the year and $19.6 million spent in connection with the development of Film Assets.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net cash used in the Company’s investing activities totaled $31.8 million, as compared to $53.3 million in 2022. In 2023, the net cash used in investing activities is driven by $18.0 million invested in equipment contributed to the Company’s joint revenue sharing arrangements with exhibitor customers, $6.5 million related to the purchase of property, plant and equipment, and $8.3 million of intangible assets acquired, principally related to the continued development or purchase of internal use software. The Company considers its investment in joint revenue sharing arrangements to be reflective of growth capital expenditures.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2022, the net cash used in investing activities is driven by $15.9 million paid for the acquisition of SSIMWAVE, net of cash and cash equivalents acquired, $19.8 million invested in equipment to be used in the Company’s joint revenue sharing arrangements with exhibitor customers, $4.7 million invested by IMAX (Shanghai) Culture and Technology Co., Ltd, a wholly-owned subsidiary of IMAX China, in the movie </w:t>
      </w:r>
      <w:r>
        <w:rPr>
          <w:rFonts w:ascii="Times New Roman" w:hAnsi="Times New Roman"/>
          <w:i/>
          <w:color w:val="000000"/>
          <w:sz w:val="20"/>
        </w:rPr>
        <w:t>Mozart from Space</w:t>
      </w:r>
      <w:r>
        <w:rPr>
          <w:rFonts w:ascii="Times New Roman" w:hAnsi="Times New Roman"/>
          <w:color w:val="000000"/>
          <w:sz w:val="20"/>
        </w:rPr>
        <w:t xml:space="preserve"> (see “Asset Impairment” above), $8.4 million related to the purchase of property, plant and equipment, and $4.4 million of intangible assets acquired, principally related to the development of internal use software.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Capital expenditures, including the Company’s investment in joint revenue sharing arrangements, the purchase of property, plant and equipment, the acquisition of other intangible assets, and investments in films were $53.2 million in 2023 as compared to $57.0 million in 2022. Based on management’s operating plan for 2023, the Company expects to continue to use cash to deploy additional IMAX Systems under joint revenue sharing arrangements.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net cash used in the Company’s financing activities totaled $48.5 million, as compared to $58.5 million used by financing activities in the prior year. In 2023, the net cash used in financing activities is principally due to $13.5 million in net repayments of revolving credit facility borrowings, $26.8 million used to repurchase common shares of the Company, $6.5 million in taxes withheld on vested employee equity awards, and $1.4 million of dividends paid to the non-controlling interests of IMAX China.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2022, the net cash used in financing activities is principally due to $83.2 million used to repurchase common shares of the Company ($80.1 million) and IMAX China ($3.0 million), $3.7 million paid to purchase treasury stock for the settlement of RSUs and related taxes, $2.7 million of dividends paid to the non-controlling interests of IMAX China, and $2.3 million in fees paid in relation to the Sixth Amended and Restated Credit Agreement entered into by the Company during the first quarter of 2022, partially offset by $34.3 million in net cash inflow from revolving credit facility borrowings. (Refer to Note 14(b) to Consolidated Financial Statements in Part II, Item 8.)</w:t>
      </w:r>
    </w:p>
    <w:p>
      <w:pPr>
        <w:pStyle w:val="TextBody"/>
        <w:bidi w:val="0"/>
        <w:spacing w:before="20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Company’s principal sources of liquidity included: (i) its balances of cash and cash equivalents of $76.2 million; (ii) the anticipated collection of trade accounts receivable, which includes amounts owed under joint revenue sharing arrangements and film remastering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of December 31, 2023, the Company also had $276.0 million in available borrowing capacity under its Sixth Amended and Restated Credit Agreement, with Wells Fargo Bank, National Association (the “Credit Agreement”), $26.8 million in available borrowing capacity under the IMAX (Shanghai) Multimedia Technology Co., Ltd. (“IMAX Shanghai”) revolving credit facility with the Bank of China (the “Bank of China Facility”), and $28.2 million in available borrowing capacity under IMAX Shanghai’s revolving credit facility with HSBC Bank (China) Company Limited, Shanghai Branch (the “HSBC China Facility”). (Refer to Note 14(a) to Consolidated Financial Statements in Part II, Item 8 for a description of the material terms of the Credit Agreement, the Bank of China Facility, and the HSBC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$76.2 million balance of cash and cash equivalents as of December 31, 2023 (December 31, 2022 — $97.4 million) includes $68.5 million in cash held outside of Canada (December 31, 2022 — $79.7 million), of which $30.0 million was held in the People's Republic of China (“PRC”) (December 31, 2022 — $43.7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year ended December 31, 2023, $24.0 million of historical earnings from a subsidiary in China were distributed (December 31, 2022 — $27.4 million) and, as a result, $2.4 million of foreign withholding taxes were paid to the relevant tax authorities (December 31, 2022 — $2.7 million). As of December 31, 2023, the Company’s Consolidated Balance Sheets include a deferred tax liability of $12.5 million (December 31, 2022 — $14.9 million) for the applicable foreign withholding taxes associated with the remaining balance of unrepatriated historical earnings that will not be indefinitely reinvested outside of Canada. These taxes will become payable upon the repatriation of any such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remastered content distributed to the IMAX network are not realized. </w:t>
      </w:r>
    </w:p>
    <w:p>
      <w:pPr>
        <w:pStyle w:val="TextBody"/>
        <w:bidi w:val="0"/>
        <w:spacing w:before="200" w:after="283"/>
        <w:jc w:val="both"/>
        <w:rPr>
          <w:rFonts w:ascii="Times New Roman" w:hAnsi="Times New Roman"/>
          <w:sz w:val="20"/>
        </w:rPr>
      </w:pPr>
      <w:r>
        <w:rPr>
          <w:rFonts w:ascii="Times New Roman" w:hAnsi="Times New Roman"/>
          <w:color w:val="1D1C1D"/>
          <w:sz w:val="20"/>
        </w:rPr>
        <w:t xml:space="preserve">For the year ended December 31, 2023, the Company had $76.2 million balance of cash and cash equivalents and net cash provided by the Company’s operating activities of $58.6 million which improved $41.3 million from 2022. </w:t>
      </w:r>
      <w:r>
        <w:rPr>
          <w:rFonts w:ascii="Times New Roman" w:hAnsi="Times New Roman"/>
          <w:color w:val="000000"/>
          <w:sz w:val="20"/>
        </w:rPr>
        <w:t xml:space="preserve">Based on the Company’s current cash balances and operating cash flows, management expects to have sufficient capital and liquidity to fund its anticipated operating needs and capital requirements during the next twelve-month period following the date of this report.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Payments to be made by the Company under contractual obligations as of December 31, 2023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4"/>
        <w:gridCol w:w="146"/>
        <w:gridCol w:w="211"/>
        <w:gridCol w:w="781"/>
        <w:gridCol w:w="146"/>
        <w:gridCol w:w="146"/>
        <w:gridCol w:w="370"/>
        <w:gridCol w:w="1189"/>
        <w:gridCol w:w="146"/>
        <w:gridCol w:w="146"/>
        <w:gridCol w:w="211"/>
        <w:gridCol w:w="781"/>
        <w:gridCol w:w="146"/>
        <w:gridCol w:w="146"/>
        <w:gridCol w:w="257"/>
        <w:gridCol w:w="698"/>
        <w:gridCol w:w="146"/>
        <w:gridCol w:w="146"/>
        <w:gridCol w:w="239"/>
        <w:gridCol w:w="647"/>
        <w:gridCol w:w="193"/>
      </w:tblGrid>
      <w:tr>
        <w:trPr/>
        <w:tc>
          <w:tcPr>
            <w:tcW w:w="3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obligations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Pension obligations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obligations</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Federal Economic Development Loan</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Postretirement benefits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333,488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260,697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Represents total payments to be made under binding commitments with suppliers and outstanding payments to be made for supplies ordered, but yet to be invoiced.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(Refer to Note 23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Represents total minimum annual rental payments due under the Company’s operating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Economic Development Loan will be repayable over 36 months, with repayments estimated to begin in January 2024. (Refer to Note 14(b) to Consolidated Financial Statements in Part II, Item 8.)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0.500% per annum on the principal of $230.0 million, payable semi-annually in arrears on April 1 and October 1 of each year. The Convertible Notes will mature on April 1, 2026, unless earlier repurchased, redeemed or converted. (Refer to Note 14(b) Consolidated Financial Statements in Part II, Item 8.)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currently no off-balance sheet arrangements that have or are reasonably likely to have a current or future material effect on the Company’s financial condition.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Adjusted net income or loss attributable to common shareholders;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Adjusted net income or loss attributable to common shareholders per basic and diluted share;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EBITDA; and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Adjusted EBITDA per Credit Facility.</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Adjusted net income or loss attributable to common shareholders and adjusted net income or loss attributable to common shareholders per basic and diluted share exclude, where applicable: (i) share-based compensation; (ii) COVID-19 government relief benefits; (iii) realized and unrealized investment gains or losses; (iv) transaction-related expenses; and (v) restructuring and executive transition costs, as well as the related tax impact of these adjustments.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loss attributable to common shareholders. Although share-based compensation is an important aspect of the Company’s employee and executive compensation packages, it is a non-cash expense and is excluded from certain internal business performance measures.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Reconciliations of net income (loss) attributable to common shareholders and the associated per share amounts to adjusted net income (loss) attributable to common shareholders and adjusted net income attributable to common shareholders per basic and diluted share are presented in the table below.</w:t>
      </w:r>
    </w:p>
    <w:tbl>
      <w:tblPr>
        <w:tblW w:w="10205" w:type="dxa"/>
        <w:jc w:val="left"/>
        <w:tblInd w:w="0" w:type="dxa"/>
        <w:tblLayout w:type="fixed"/>
        <w:tblCellMar>
          <w:top w:w="28" w:type="dxa"/>
          <w:left w:w="28" w:type="dxa"/>
          <w:bottom w:w="28" w:type="dxa"/>
          <w:right w:w="28" w:type="dxa"/>
        </w:tblCellMar>
      </w:tblPr>
      <w:tblGrid>
        <w:gridCol w:w="4188"/>
        <w:gridCol w:w="146"/>
        <w:gridCol w:w="219"/>
        <w:gridCol w:w="704"/>
        <w:gridCol w:w="166"/>
        <w:gridCol w:w="146"/>
        <w:gridCol w:w="315"/>
        <w:gridCol w:w="1010"/>
        <w:gridCol w:w="166"/>
        <w:gridCol w:w="146"/>
        <w:gridCol w:w="211"/>
        <w:gridCol w:w="736"/>
        <w:gridCol w:w="166"/>
        <w:gridCol w:w="146"/>
        <w:gridCol w:w="315"/>
        <w:gridCol w:w="1010"/>
        <w:gridCol w:w="415"/>
      </w:tblGrid>
      <w:tr>
        <w:trPr/>
        <w:tc>
          <w:tcPr>
            <w:tcW w:w="4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1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per share amounts)</w:t>
            </w:r>
          </w:p>
        </w:tc>
        <w:tc>
          <w:tcPr>
            <w:tcW w:w="146" w:type="dxa"/>
            <w:tcBorders/>
            <w:shd w:fill="FFFFFF" w:val="cle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Diluted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(Loss) </w:t>
              <w:b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Diluted Share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shareholders</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Adjustments</w:t>
            </w:r>
            <w:r>
              <w:rPr>
                <w:rFonts w:ascii="Times New Roman" w:hAnsi="Times New Roman"/>
                <w:color w:val="000000"/>
                <w:sz w:val="13"/>
              </w:rPr>
              <w:t>(1)</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41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investment gains</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418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Transaction-related expenses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Restructuring and executive transition costs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41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COVID-19 government relief benefits, net</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impact on items listed above</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2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4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CFF0FC" w:val="clear"/>
            <w:vAlign w:val="center"/>
          </w:tcPr>
          <w:p>
            <w:pPr>
              <w:pStyle w:val="TableContents"/>
              <w:bidi w:val="0"/>
              <w:spacing w:before="0" w:after="283"/>
              <w:jc w:val="right"/>
              <w:rPr/>
            </w:pPr>
            <w:r>
              <w:rPr/>
              <w:t> </w:t>
            </w:r>
          </w:p>
        </w:tc>
        <w:tc>
          <w:tcPr>
            <w:tcW w:w="92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FFFFFF" w:val="clear"/>
            <w:vAlign w:val="center"/>
          </w:tcPr>
          <w:p>
            <w:pPr>
              <w:pStyle w:val="TableContents"/>
              <w:bidi w:val="0"/>
              <w:spacing w:before="0" w:after="283"/>
              <w:jc w:val="righ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Reflects amounts attributable to common shareholders.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Reflects costs in connection with the Company’s proposal to acquire the outstanding 96.3 million shares in IMAX China in 2023 and costs incurred associated with the acquisition of SSIMWAVE in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Reflects costs in connection with the departure of the President, IMAX Entertainment and Executive Vice President of the Company and other employees to capture efficiencies and centralize certain operational roles. (Refer to Note 26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restructuring and executive transition costs; and (v) write-downs, net of recoveries, including asset impairments and credit loss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Reconciliations of net income attributable to common shareholders, which is the most directly comparable GAAP measure, to EBITDA and Adjusted EBITDA per Credit Facility are presented in the table below.</w:t>
      </w:r>
    </w:p>
    <w:tbl>
      <w:tblPr>
        <w:tblW w:w="10205" w:type="dxa"/>
        <w:jc w:val="left"/>
        <w:tblInd w:w="0" w:type="dxa"/>
        <w:tblLayout w:type="fixed"/>
        <w:tblCellMar>
          <w:top w:w="28" w:type="dxa"/>
          <w:left w:w="28" w:type="dxa"/>
          <w:bottom w:w="28" w:type="dxa"/>
          <w:right w:w="28" w:type="dxa"/>
        </w:tblCellMar>
      </w:tblPr>
      <w:tblGrid>
        <w:gridCol w:w="4387"/>
        <w:gridCol w:w="295"/>
        <w:gridCol w:w="204"/>
        <w:gridCol w:w="1101"/>
        <w:gridCol w:w="166"/>
        <w:gridCol w:w="146"/>
        <w:gridCol w:w="349"/>
        <w:gridCol w:w="242"/>
        <w:gridCol w:w="1124"/>
        <w:gridCol w:w="166"/>
        <w:gridCol w:w="146"/>
        <w:gridCol w:w="289"/>
        <w:gridCol w:w="200"/>
        <w:gridCol w:w="1074"/>
        <w:gridCol w:w="316"/>
      </w:tblGrid>
      <w:tr>
        <w:trPr/>
        <w:tc>
          <w:tcPr>
            <w:tcW w:w="43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87" w:type="dxa"/>
            <w:tcBorders/>
            <w:shd w:fill="FFFFFF" w:val="clear"/>
            <w:vAlign w:val="center"/>
          </w:tcPr>
          <w:p>
            <w:pPr>
              <w:pStyle w:val="TableContents"/>
              <w:bidi w:val="0"/>
              <w:spacing w:before="0" w:after="283"/>
              <w:jc w:val="left"/>
              <w:rPr/>
            </w:pPr>
            <w:r>
              <w:rPr/>
              <w:t> </w:t>
            </w:r>
          </w:p>
        </w:tc>
        <w:tc>
          <w:tcPr>
            <w:tcW w:w="550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7" w:type="dxa"/>
            <w:tcBorders/>
            <w:shd w:fill="FFFFFF" w:val="clear"/>
            <w:vAlign w:val="center"/>
          </w:tcPr>
          <w:p>
            <w:pPr>
              <w:pStyle w:val="TableContents"/>
              <w:bidi w:val="0"/>
              <w:spacing w:before="0" w:after="283"/>
              <w:jc w:val="left"/>
              <w:rPr/>
            </w:pPr>
            <w:r>
              <w:rPr/>
              <w:t> </w:t>
            </w:r>
          </w:p>
        </w:tc>
        <w:tc>
          <w:tcPr>
            <w:tcW w:w="1600"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3"/>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3" w:type="dxa"/>
            <w:gridSpan w:val="3"/>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4387" w:type="dxa"/>
            <w:tcBorders/>
            <w:shd w:fill="FFFFFF" w:val="clear"/>
            <w:vAlign w:val="center"/>
          </w:tcPr>
          <w:p>
            <w:pPr>
              <w:pStyle w:val="TableContents"/>
              <w:bidi w:val="0"/>
              <w:spacing w:before="0" w:after="283"/>
              <w:jc w:val="left"/>
              <w:rPr/>
            </w:pPr>
            <w:r>
              <w:rPr/>
              <w:t> </w:t>
            </w:r>
          </w:p>
        </w:tc>
        <w:tc>
          <w:tcPr>
            <w:tcW w:w="1600"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387" w:type="dxa"/>
            <w:tcBorders/>
            <w:shd w:fill="FFFFFF" w:val="clear"/>
            <w:vAlign w:val="center"/>
          </w:tcPr>
          <w:p>
            <w:pPr>
              <w:pStyle w:val="TableContents"/>
              <w:bidi w:val="0"/>
              <w:spacing w:before="0" w:after="283"/>
              <w:jc w:val="left"/>
              <w:rPr/>
            </w:pPr>
            <w:r>
              <w:rPr/>
              <w:t> </w:t>
            </w:r>
          </w:p>
        </w:tc>
        <w:tc>
          <w:tcPr>
            <w:tcW w:w="1600"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 and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w:t>
            </w:r>
          </w:p>
        </w:tc>
        <w:tc>
          <w:tcPr>
            <w:tcW w:w="316" w:type="dxa"/>
            <w:tcBorders/>
            <w:shd w:fill="FFFFFF" w:val="clear"/>
            <w:vAlign w:val="center"/>
          </w:tcPr>
          <w:p>
            <w:pPr>
              <w:pStyle w:val="TableContents"/>
              <w:bidi w:val="0"/>
              <w:spacing w:before="0" w:after="283"/>
              <w:jc w:val="center"/>
              <w:rPr/>
            </w:pPr>
            <w:r>
              <w:rPr/>
              <w:t> </w:t>
            </w:r>
          </w:p>
        </w:tc>
      </w:tr>
      <w:tr>
        <w:trPr/>
        <w:tc>
          <w:tcPr>
            <w:tcW w:w="4387"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6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Shareholders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net income</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w:t>
            </w:r>
          </w:p>
        </w:tc>
        <w:tc>
          <w:tcPr>
            <w:tcW w:w="316" w:type="dxa"/>
            <w:tcBorders/>
            <w:shd w:fill="CFF0FC" w:val="clear"/>
            <w:vAlign w:val="center"/>
          </w:tcPr>
          <w:p>
            <w:pPr>
              <w:pStyle w:val="TableContents"/>
              <w:bidi w:val="0"/>
              <w:spacing w:before="0" w:after="283"/>
              <w:jc w:val="left"/>
              <w:rPr/>
            </w:pPr>
            <w:r>
              <w:rPr/>
              <w:t> </w:t>
            </w:r>
          </w:p>
        </w:tc>
      </w:tr>
      <w:tr>
        <w:trPr/>
        <w:tc>
          <w:tcPr>
            <w:tcW w:w="4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95"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43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expense</w:t>
            </w:r>
          </w:p>
        </w:tc>
        <w:tc>
          <w:tcPr>
            <w:tcW w:w="295"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316" w:type="dxa"/>
            <w:tcBorders/>
            <w:shd w:fill="CFF0FC" w:val="clear"/>
            <w:vAlign w:val="center"/>
          </w:tcPr>
          <w:p>
            <w:pPr>
              <w:pStyle w:val="TableContents"/>
              <w:bidi w:val="0"/>
              <w:spacing w:before="0" w:after="283"/>
              <w:ind w:left="0" w:right="0" w:firstLine="100"/>
              <w:jc w:val="left"/>
              <w:rPr/>
            </w:pPr>
            <w:r>
              <w:rPr/>
              <w:t> </w:t>
            </w:r>
          </w:p>
        </w:tc>
      </w:tr>
      <w:tr>
        <w:trPr/>
        <w:tc>
          <w:tcPr>
            <w:tcW w:w="438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 net of interest income</w:t>
            </w:r>
          </w:p>
        </w:tc>
        <w:tc>
          <w:tcPr>
            <w:tcW w:w="29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43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 including film asset amortization</w:t>
            </w:r>
          </w:p>
        </w:tc>
        <w:tc>
          <w:tcPr>
            <w:tcW w:w="295"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54,710</w:t>
            </w:r>
          </w:p>
        </w:tc>
        <w:tc>
          <w:tcPr>
            <w:tcW w:w="316" w:type="dxa"/>
            <w:tcBorders/>
            <w:shd w:fill="CFF0FC" w:val="clear"/>
            <w:vAlign w:val="center"/>
          </w:tcPr>
          <w:p>
            <w:pPr>
              <w:pStyle w:val="TableContents"/>
              <w:bidi w:val="0"/>
              <w:spacing w:before="0" w:after="283"/>
              <w:ind w:left="0" w:right="0" w:firstLine="100"/>
              <w:jc w:val="left"/>
              <w:rPr/>
            </w:pPr>
            <w:r>
              <w:rPr/>
              <w:t> </w:t>
            </w:r>
          </w:p>
        </w:tc>
      </w:tr>
      <w:tr>
        <w:trPr/>
        <w:tc>
          <w:tcPr>
            <w:tcW w:w="4387"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Amortization of deferred financing costs</w:t>
            </w:r>
            <w:r>
              <w:rPr>
                <w:rFonts w:ascii="Times New Roman" w:hAnsi="Times New Roman"/>
                <w:color w:val="000000"/>
                <w:sz w:val="13"/>
              </w:rPr>
              <w:t>(1)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EBITDA</w:t>
            </w:r>
          </w:p>
        </w:tc>
        <w:tc>
          <w:tcPr>
            <w:tcW w:w="295"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96,115</w:t>
            </w:r>
          </w:p>
        </w:tc>
        <w:tc>
          <w:tcPr>
            <w:tcW w:w="316" w:type="dxa"/>
            <w:tcBorders/>
            <w:shd w:fill="CFF0FC" w:val="clear"/>
            <w:vAlign w:val="center"/>
          </w:tcPr>
          <w:p>
            <w:pPr>
              <w:pStyle w:val="TableContents"/>
              <w:bidi w:val="0"/>
              <w:spacing w:before="0" w:after="283"/>
              <w:ind w:left="0" w:right="0" w:firstLine="100"/>
              <w:jc w:val="left"/>
              <w:rPr/>
            </w:pPr>
            <w:r>
              <w:rPr/>
              <w:t> </w:t>
            </w:r>
          </w:p>
        </w:tc>
      </w:tr>
      <w:tr>
        <w:trPr/>
        <w:tc>
          <w:tcPr>
            <w:tcW w:w="438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and other non-cash compensation</w:t>
            </w:r>
          </w:p>
        </w:tc>
        <w:tc>
          <w:tcPr>
            <w:tcW w:w="29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23,456</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43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investment gains</w:t>
            </w:r>
          </w:p>
        </w:tc>
        <w:tc>
          <w:tcPr>
            <w:tcW w:w="295"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87"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Transaction-related expenses</w:t>
            </w:r>
            <w:r>
              <w:rPr>
                <w:rFonts w:ascii="Times New Roman" w:hAnsi="Times New Roman"/>
                <w:color w:val="000000"/>
                <w:sz w:val="13"/>
              </w:rPr>
              <w:t>(2)</w:t>
            </w:r>
          </w:p>
        </w:tc>
        <w:tc>
          <w:tcPr>
            <w:tcW w:w="295"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43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Write-downs, including asset impairments and credit loss expense</w:t>
            </w:r>
          </w:p>
        </w:tc>
        <w:tc>
          <w:tcPr>
            <w:tcW w:w="295"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316" w:type="dxa"/>
            <w:tcBorders/>
            <w:shd w:fill="CFF0FC" w:val="clear"/>
            <w:vAlign w:val="center"/>
          </w:tcPr>
          <w:p>
            <w:pPr>
              <w:pStyle w:val="TableContents"/>
              <w:bidi w:val="0"/>
              <w:spacing w:before="0" w:after="283"/>
              <w:ind w:left="0" w:right="0" w:firstLine="100"/>
              <w:jc w:val="left"/>
              <w:rPr/>
            </w:pPr>
            <w:r>
              <w:rPr/>
              <w:t> </w:t>
            </w:r>
          </w:p>
        </w:tc>
      </w:tr>
      <w:tr>
        <w:trPr/>
        <w:tc>
          <w:tcPr>
            <w:tcW w:w="4387"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Restructuring and executive transition costs</w:t>
            </w:r>
            <w:r>
              <w:rPr>
                <w:rFonts w:ascii="Times New Roman" w:hAnsi="Times New Roman"/>
                <w:color w:val="000000"/>
                <w:sz w:val="13"/>
              </w:rPr>
              <w:t>(3)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per Credit Facility</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amortization of deferred financing costs is recorded within Interest Expense in the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Reflects costs incurred resulting from the Company’s proposal to acquire the outstanding 96.3 million shares in IMAX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Reflects costs in connection with the departure of the President, IMAX Entertainment and Executive Vice President of the Company and other employees to capture efficiencies and centralize certain operational roles. (Refer to Note 26 to Consolidated Financial Statements in Part II, Item 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4" w:name="item_7a_quantitative_qualitative_factors"/>
      <w:bookmarkEnd w:id="14"/>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Factors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Exchange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90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of the Company’s PRC subsidiaries held approximately RMB 213.0 million or $30.0 million in cash and cash equivalents as of December 31, 2023 (December 31, 2022 — RMB 303.8 million or $43.6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Company recorded a foreign exchange net loss of $0.7 million as compared to a foreign exchange net loss of $3.2 million in 2022, associated with the translation of foreign currency denominated monetary assets and liabilities, primarily due to the slower pace of RMB weakening against the U.S. Dollar throughout 2023 compared to 2022. The impact of changes in foreign currency valuations versus the U.S. Dollar led to a decrease in GBO of $30.4 million in 2023 as compared to prior year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entered into a series of foreign currency forward contracts to manage the risks associated with the volatility of foreign currencies. These foreign currency forward contracts met the criteria required for hedge accounting under the Derivatives and Hedging Topic of the FASB ASC at inception, and continue to meet hedge effectiveness tests as of December 31, 2023, with settlement dates throughout 2024 and 2025.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and reclassified to the Consolidated Statements of Operations when the forecasted transaction occurs. Any ineffective portion is recognized immediately in the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notional value of foreign currency cash flow hedging instruments that qualify for hedge accounting as of December 31, 2023 was $40.6 million (December 31, 2022 — $24.7 million). A gain of $0.6 million was recorded to Other Comprehensive (Loss) Income with respect to the change in fair value of these contracts in 2023 (2022 — loss of $1.3 million; 2021 — gain of $0.5 million ). A loss of $0.9 million was reclassified from Accumulated Other Comprehensive Loss to Selling, General and Administrative Expenses in 2023 (2022 — loss of $0.6 million; 2021 — gain of $1.7 million), primarily due to the fairly stabilized CAD against the U.S. Dollar through most of 2023 compared to 2022, when the CAD weakened against the U.S. Dollar. In 2023, there were no gains or losses resulting from a change in the classification of certain forward contracts no longer meeting the requirements for hedge accounting were reclassified from Accumulated Other Comprehensive Loss to Selling, General and Administrative Expenses (2022 — $nil). The notional value of forward contracts that do not qualify for hedge accounting as of December 31, 2023 was $nil (December 31, 2022 — $nil).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Company’s Financing Receivables and working capital items denominated in Canadian Dollars, RMB, Japanese Yen, Euros and other foreign currencies translated into U.S. Dollars was $172.7 million, of which $172.5 million was denominated in RMB. Assuming a 10% appreciation or depreciation in foreign currency exchange rates from the quoted foreign currency exchange rates as of December 31, 2023, the potential change in the fair value of foreign currency-denominated financing receivables and working capital items would have been $17.3 million. A significant portion of the Company’s Selling, General, and Administrative Expenses is denominated in Canadian Dollars. Assuming a 1% change appreciation or depreciation in foreign currency exchange rates as of December 31, 2023, the potential change in the amount of Selling, General, and Administrative Expenses would be $0.2 million.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Interest Rate Risk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earnings may also be affected by changes in interest rates and the resulting impact of those changes on its interest income from cash, and its interest expense from variable-rate borrowings.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 had drawn down $24.0 million on its Credit Facility (December 31, 2022 — $25.0 million), $nil on its HSBC China Facility (December 31, 2022 — $12.5 million) and $nil on its Bank of China Facility (December 31, 2022 — $0.4 million), which are all subject to variable effective 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variable rate debt instruments were $24.0 million as of December 31, 2023 or 37% less than $37.9 million as of December 31 2022. Variable rate debt instruments represented 5% and 8% of its total liabilities as of December 31, 2023 and 2022, respectively. If the interest rates available to the Company increased by 10%, the Company’s interest expense would increase by $0.2 million and interest income from cash would increase by $0.2 million. These amounts are determined by considering the impact of the hypothetical interest rates on the Company’s variable rate debt and cash balances as of December 31, 2023.</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i/>
          <w:color w:val="000000"/>
          <w:sz w:val="20"/>
        </w:rPr>
        <w:t>Financial Statements and Supplementary Data</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both"/>
        <w:rPr/>
      </w:pPr>
      <w:bookmarkStart w:id="16" w:name="shareholdersequity"/>
      <w:bookmarkEnd w:id="16"/>
      <w:r>
        <w:rPr/>
        <w:t> </w:t>
      </w:r>
    </w:p>
    <w:tbl>
      <w:tblPr>
        <w:tblW w:w="9973" w:type="dxa"/>
        <w:jc w:val="left"/>
        <w:tblInd w:w="0" w:type="dxa"/>
        <w:tblLayout w:type="fixed"/>
        <w:tblCellMar>
          <w:top w:w="28" w:type="dxa"/>
          <w:left w:w="28" w:type="dxa"/>
          <w:bottom w:w="28" w:type="dxa"/>
          <w:right w:w="28" w:type="dxa"/>
        </w:tblCellMar>
      </w:tblPr>
      <w:tblGrid>
        <w:gridCol w:w="9316"/>
        <w:gridCol w:w="146"/>
        <w:gridCol w:w="511"/>
      </w:tblGrid>
      <w:tr>
        <w:trPr/>
        <w:tc>
          <w:tcPr>
            <w:tcW w:w="9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6" w:type="dxa"/>
            <w:tcBorders/>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563C1"/>
                <w:sz w:val="20"/>
              </w:rPr>
              <w:t xml:space="preserve"> </w:t>
            </w:r>
            <w:r>
              <w:rPr>
                <w:rFonts w:ascii="Times New Roman" w:hAnsi="Times New Roman"/>
                <w:color w:val="000000"/>
                <w:sz w:val="20"/>
              </w:rPr>
              <w:t>(PCAOB Firm ID 271)</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316"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316"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316" w:type="dxa"/>
            <w:tcBorders/>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(loss)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316"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316" w:type="dxa"/>
            <w:tcBorders/>
            <w:vAlign w:val="center"/>
          </w:tcPr>
          <w:p>
            <w:pPr>
              <w:pStyle w:val="TableContents"/>
              <w:bidi w:val="0"/>
              <w:spacing w:before="0" w:after="283"/>
              <w:jc w:val="left"/>
              <w:rPr/>
            </w:pPr>
            <w:hyperlink w:anchor="consolidated_statements_shareholders_equ">
              <w:r>
                <w:rPr>
                  <w:rStyle w:val="InternetLink"/>
                  <w:rFonts w:ascii="Times New Roman" w:hAnsi="Times New Roman"/>
                  <w:color w:val="0000FF"/>
                  <w:sz w:val="20"/>
                  <w:u w:val="single"/>
                </w:rPr>
                <w:t>Consolidated Statements of Shareholders’ Equity for the years ended December 31, 2023, 2022 and 2021</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316" w:type="dxa"/>
            <w:tcBorders/>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report_of_independent_registered_public"/>
      <w:bookmarkEnd w:id="17"/>
      <w:r>
        <w:rPr>
          <w:rFonts w:ascii="Arial" w:hAnsi="Arial"/>
          <w:color w:val="000000"/>
          <w:sz w:val="28"/>
        </w:rPr>
        <w:t>Report of Independent Registered Public Accounting Firm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To the Shareholders and Board of Directors of IMAX Corporation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Opinions on the Financial Statements and Internal Control over Financial Reporting</w:t>
      </w:r>
    </w:p>
    <w:p>
      <w:pPr>
        <w:pStyle w:val="TextBody"/>
        <w:bidi w:val="0"/>
        <w:jc w:val="left"/>
        <w:rPr>
          <w:rFonts w:ascii="Times New Roman" w:hAnsi="Times New Roman"/>
          <w:sz w:val="20"/>
        </w:rPr>
      </w:pPr>
      <w:r>
        <w:rPr>
          <w:rFonts w:ascii="Arial" w:hAnsi="Arial"/>
          <w:color w:val="000000"/>
          <w:sz w:val="20"/>
        </w:rPr>
        <w:t xml:space="preserve">We have audited the accompanying consolidated balance sheets of IMAX Corporation and its subsidiaries (together, the Company) as of December 31, 2023 and 2022, and the related consolidated statements of operations, comprehensive income(loss), shareholders’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Committee of Sponsoring Organizations of the Treadway Commission (COSO).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COSO.</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Basis for Opinions</w:t>
      </w:r>
    </w:p>
    <w:p>
      <w:pPr>
        <w:pStyle w:val="TextBody"/>
        <w:bidi w:val="0"/>
        <w:jc w:val="left"/>
        <w:rPr>
          <w:rFonts w:ascii="Times New Roman" w:hAnsi="Times New Roman"/>
          <w:sz w:val="20"/>
        </w:rPr>
      </w:pPr>
      <w:r>
        <w:rPr>
          <w:rFonts w:ascii="Arial" w:hAnsi="Arial"/>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of this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Definition and Limitations of Internal Control over Financial Reporting</w:t>
      </w:r>
    </w:p>
    <w:p>
      <w:pPr>
        <w:pStyle w:val="TextBody"/>
        <w:bidi w:val="0"/>
        <w:jc w:val="left"/>
        <w:rPr>
          <w:rFonts w:ascii="Times New Roman" w:hAnsi="Times New Roman"/>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Critical Audit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Revenue Recognition - IMAX Systems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in notes 2(o) and 20(a) to the consolidated financial statements, the Company recognized revenue from System Sales related to the IMAX Technology Products and Services segment of $93.3 million for the year ended December 31, 2023 ($65.5 million for the year ended December 31, 2022). Management evaluates whether a system arrangement involves either a sale or a lease of a system, and for those arrangements that are accounted for as a sale of a system, determines the transaction price and the allocation thereof to each separate performance obligation based on estimated standalone selling prices. For arrangements accounted for as a sale of a system, the transaction price allocated to the performance obligation is recognized when the conditions signifying transfer of control have been met. For system arrangements, management applied significant judgement in (i) determining whether the system arrangement related to either a sale or a lease by considering the terms of the arrangement including title to the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principal considerations for our determination that performing procedures relating to the revenue recognition of System Sales is a critical audit matter are that management identified the matter as a critical accounting estimate, and there was significant judgement required by management in (i) determining whether the system arrangement related to a sale or a lease, and based on the type of sale or lease each arrangement represents, whether it falls in the scope of ASC 606 or ASC 842;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judgement, subjectivity and effort in performing procedures and evaluating audit evidence relating to the revenue recognition of System Sales.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memoranda produced for each system arrangement which include the determination of the type of system arrangement, the estimate of the transaction price and allocation thereof and the timing of the related revenue recognition. These procedures also included, among others, evaluating the reasonableness of management’s assessment of whether the system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theatres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underlying theatres associated with the arrangement involved evaluating whether the assumption was reasonable considering the current and past performance of the underlying theatres.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 assessment of the timing of revenue recognition involved inspecting the customers’ certificates of acceptance and theatre openings during the year.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PricewaterhouseCoopers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Chartered Professional Accountants, Licensed Public Accountants</w:t>
      </w:r>
    </w:p>
    <w:p>
      <w:pPr>
        <w:pStyle w:val="TextBody"/>
        <w:bidi w:val="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Toronto, Canada</w:t>
            </w:r>
          </w:p>
          <w:p>
            <w:pPr>
              <w:pStyle w:val="TableContents"/>
              <w:bidi w:val="0"/>
              <w:jc w:val="left"/>
              <w:rPr>
                <w:rFonts w:ascii="Arial" w:hAnsi="Arial"/>
                <w:color w:val="000000"/>
                <w:sz w:val="20"/>
              </w:rPr>
            </w:pPr>
            <w:r>
              <w:rPr>
                <w:rFonts w:ascii="Arial" w:hAnsi="Arial"/>
                <w:color w:val="000000"/>
                <w:sz w:val="20"/>
              </w:rPr>
              <w:t>February 27, 2024</w:t>
            </w:r>
          </w:p>
          <w:p>
            <w:pPr>
              <w:pStyle w:val="TableContents"/>
              <w:bidi w:val="0"/>
              <w:spacing w:before="0" w:after="283"/>
              <w:jc w:val="left"/>
              <w:rPr/>
            </w:pPr>
            <w:r>
              <w:rPr/>
              <w:t> </w:t>
            </w:r>
          </w:p>
        </w:tc>
      </w:tr>
    </w:tbl>
    <w:p>
      <w:pPr>
        <w:pStyle w:val="TextBody"/>
        <w:bidi w:val="0"/>
        <w:jc w:val="left"/>
        <w:rPr>
          <w:rFonts w:ascii="Arial" w:hAnsi="Arial"/>
          <w:color w:val="000000"/>
          <w:sz w:val="20"/>
        </w:rPr>
      </w:pPr>
      <w:r>
        <w:rPr>
          <w:rFonts w:ascii="Arial" w:hAnsi="Arial"/>
          <w:color w:val="000000"/>
          <w:sz w:val="20"/>
        </w:rPr>
        <w:t>We have served as the Company’s auditor since 1987, which includes periods before the Company became subject to SEC reporting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rFonts w:ascii="Times New Roman" w:hAnsi="Times New Roman"/>
          <w:b/>
          <w:color w:val="000000"/>
          <w:sz w:val="20"/>
        </w:rPr>
      </w:pPr>
      <w:bookmarkStart w:id="18" w:name="consolidated_balance_sheets"/>
      <w:bookmarkEnd w:id="18"/>
      <w:r>
        <w:rPr>
          <w:rFonts w:ascii="Times New Roman" w:hAnsi="Times New Roman"/>
          <w:b/>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of U.S. Dollars except share amounts)</w:t>
      </w:r>
    </w:p>
    <w:tbl>
      <w:tblPr>
        <w:tblW w:w="10205" w:type="dxa"/>
        <w:jc w:val="left"/>
        <w:tblInd w:w="0" w:type="dxa"/>
        <w:tblLayout w:type="fixed"/>
        <w:tblCellMar>
          <w:top w:w="28" w:type="dxa"/>
          <w:left w:w="28" w:type="dxa"/>
          <w:bottom w:w="28" w:type="dxa"/>
          <w:right w:w="28" w:type="dxa"/>
        </w:tblCellMar>
      </w:tblPr>
      <w:tblGrid>
        <w:gridCol w:w="7252"/>
        <w:gridCol w:w="146"/>
        <w:gridCol w:w="211"/>
        <w:gridCol w:w="841"/>
        <w:gridCol w:w="166"/>
        <w:gridCol w:w="146"/>
        <w:gridCol w:w="211"/>
        <w:gridCol w:w="841"/>
        <w:gridCol w:w="391"/>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136,142</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receivables, net of allowance for credit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129,384</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consideration receivables, net of allowance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44,024</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31,534</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 assets, net of accumulated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 of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252,896</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 net of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 of accumulated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821,154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117,286</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70,940</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 net of unamortized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36,111</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and other borrowings, net of unamortized discounts and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226,912</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491,386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contingencies and guarantees (see Notes 15 and 16)</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stock common shares — no par value. Authorized — unlimited number.</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2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53,260,276 issued and outstanding (December 31, 2022 — 54,148,614 issued and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376,715</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185,678</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surplus reserve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39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263,355</w:t>
            </w:r>
          </w:p>
        </w:tc>
        <w:tc>
          <w:tcPr>
            <w:tcW w:w="391" w:type="dxa"/>
            <w:tcBorders/>
            <w:shd w:fill="FFFFFF" w:val="cle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329,046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821,154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accompanying notes, which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rFonts w:ascii="Times New Roman" w:hAnsi="Times New Roman"/>
          <w:b/>
          <w:color w:val="000000"/>
          <w:sz w:val="20"/>
        </w:rPr>
      </w:pPr>
      <w:bookmarkStart w:id="19" w:name="consolidated_statements_operations"/>
      <w:bookmarkEnd w:id="19"/>
      <w:r>
        <w:rPr>
          <w:rFonts w:ascii="Times New Roman" w:hAnsi="Times New Roman"/>
          <w:b/>
          <w:color w:val="000000"/>
          <w:sz w:val="20"/>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of U.S. Dollars, except per share amounts)</w:t>
      </w:r>
    </w:p>
    <w:p>
      <w:pPr>
        <w:pStyle w:val="TextBody"/>
        <w:bidi w:val="0"/>
        <w:jc w:val="center"/>
        <w:rPr/>
      </w:pPr>
      <w:r>
        <w:rPr/>
        <w:t> </w:t>
      </w:r>
    </w:p>
    <w:tbl>
      <w:tblPr>
        <w:tblW w:w="8683" w:type="dxa"/>
        <w:jc w:val="left"/>
        <w:tblInd w:w="0" w:type="dxa"/>
        <w:tblLayout w:type="fixed"/>
        <w:tblCellMar>
          <w:top w:w="28" w:type="dxa"/>
          <w:left w:w="28" w:type="dxa"/>
          <w:bottom w:w="28" w:type="dxa"/>
          <w:right w:w="28" w:type="dxa"/>
        </w:tblCellMar>
      </w:tblPr>
      <w:tblGrid>
        <w:gridCol w:w="4726"/>
        <w:gridCol w:w="146"/>
        <w:gridCol w:w="211"/>
        <w:gridCol w:w="781"/>
        <w:gridCol w:w="166"/>
        <w:gridCol w:w="146"/>
        <w:gridCol w:w="211"/>
        <w:gridCol w:w="781"/>
        <w:gridCol w:w="166"/>
        <w:gridCol w:w="146"/>
        <w:gridCol w:w="211"/>
        <w:gridCol w:w="78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sales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66,153</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Image enhancement and 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131,148</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46,790</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254,883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 applicable to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37,039</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Image enhancement and 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58,062</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160,498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134,406</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117,322</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 (reversal),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judgment and arbitration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executive transition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10,984</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investment gains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benefits non-service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(9,769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10,987</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(9,577</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shareholders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8472" w:type="dxa"/>
            <w:gridSpan w:val="1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shareholders:</w:t>
            </w:r>
          </w:p>
        </w:tc>
        <w:tc>
          <w:tcPr>
            <w:tcW w:w="2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(in thousands):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accompanying notes, which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rFonts w:ascii="Times New Roman" w:hAnsi="Times New Roman"/>
          <w:b/>
          <w:color w:val="000000"/>
          <w:sz w:val="20"/>
        </w:rPr>
      </w:pPr>
      <w:bookmarkStart w:id="20" w:name="consolidated_statements_comprehensive_in"/>
      <w:bookmarkEnd w:id="20"/>
      <w:r>
        <w:rPr>
          <w:rFonts w:ascii="Times New Roman" w:hAnsi="Times New Roman"/>
          <w:b/>
          <w:color w:val="000000"/>
          <w:sz w:val="20"/>
        </w:rPr>
        <w:t>CONSOLIDATED STATEMENTS OF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 of U.S.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3"/>
        <w:gridCol w:w="146"/>
        <w:gridCol w:w="211"/>
        <w:gridCol w:w="676"/>
        <w:gridCol w:w="166"/>
        <w:gridCol w:w="146"/>
        <w:gridCol w:w="211"/>
        <w:gridCol w:w="736"/>
        <w:gridCol w:w="166"/>
        <w:gridCol w:w="146"/>
        <w:gridCol w:w="211"/>
        <w:gridCol w:w="736"/>
        <w:gridCol w:w="491"/>
      </w:tblGrid>
      <w:tr>
        <w:trPr/>
        <w:tc>
          <w:tcPr>
            <w:tcW w:w="6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6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income, before tax</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61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defined benefit plan actuarial (loss) gain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61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postretirement benefit plans actuarial (loss) gain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61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defined benefit and postretirement benefit plans net gain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61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prior 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61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net gain (loss) from cash flow hedging 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61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Realized net loss (gain) from cash flow hedging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Reclassification of unrealized gain from ineffective cash flow hedging 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6163"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other comprehensive (loss) income, before tax</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2,264</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1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related to other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(38,177</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(7,027</w:t>
            </w:r>
          </w:p>
        </w:tc>
        <w:tc>
          <w:tcPr>
            <w:tcW w:w="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accompanying notes, which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rFonts w:ascii="Times New Roman" w:hAnsi="Times New Roman"/>
          <w:b/>
          <w:color w:val="000000"/>
          <w:sz w:val="20"/>
        </w:rPr>
      </w:pPr>
      <w:bookmarkStart w:id="21" w:name="consolidated_statements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 of U.S. Dollars)</w:t>
      </w:r>
    </w:p>
    <w:p>
      <w:pPr>
        <w:pStyle w:val="TextBody"/>
        <w:bidi w:val="0"/>
        <w:jc w:val="center"/>
        <w:rPr/>
      </w:pPr>
      <w:bookmarkStart w:id="22" w:name="cashflow"/>
      <w:bookmarkEnd w:id="22"/>
      <w:r>
        <w:rPr/>
        <w:t> </w:t>
      </w:r>
    </w:p>
    <w:tbl>
      <w:tblPr>
        <w:tblW w:w="10205" w:type="dxa"/>
        <w:jc w:val="left"/>
        <w:tblInd w:w="0" w:type="dxa"/>
        <w:tblLayout w:type="fixed"/>
        <w:tblCellMar>
          <w:top w:w="28" w:type="dxa"/>
          <w:left w:w="28" w:type="dxa"/>
          <w:bottom w:w="28" w:type="dxa"/>
          <w:right w:w="28" w:type="dxa"/>
        </w:tblCellMar>
      </w:tblPr>
      <w:tblGrid>
        <w:gridCol w:w="5460"/>
        <w:gridCol w:w="246"/>
        <w:gridCol w:w="246"/>
        <w:gridCol w:w="146"/>
        <w:gridCol w:w="736"/>
        <w:gridCol w:w="166"/>
        <w:gridCol w:w="146"/>
        <w:gridCol w:w="211"/>
        <w:gridCol w:w="146"/>
        <w:gridCol w:w="781"/>
        <w:gridCol w:w="166"/>
        <w:gridCol w:w="146"/>
        <w:gridCol w:w="211"/>
        <w:gridCol w:w="146"/>
        <w:gridCol w:w="841"/>
        <w:gridCol w:w="411"/>
      </w:tblGrid>
      <w:tr>
        <w:trPr/>
        <w:tc>
          <w:tcPr>
            <w:tcW w:w="54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8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3"/>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cash provided by operating activities: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 loss expense (reversal), net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Write-downs, including asset impairments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 (benefit) expense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and other non-cash compensation</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foreign currency exchange (gain) loss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Realized and unrealized investment gain</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Film 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other operating assets and liabilities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246" w:type="dxa"/>
            <w:tcBorders/>
            <w:shd w:fill="FFFFFF" w:val="cle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58,615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17,321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6,065</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equipment for joint revenue sharing arrangements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 film classified as a financial instrument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other intangible assets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equity securities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411" w:type="dxa"/>
            <w:tcBorders/>
            <w:shd w:fill="FFFFFF" w:val="cle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SSIMWAVE Inc., net of cash and cash equivalents acquired</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convertible notes, net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223,675</w:t>
            </w:r>
          </w:p>
        </w:tc>
        <w:tc>
          <w:tcPr>
            <w:tcW w:w="411" w:type="dxa"/>
            <w:tcBorders/>
            <w:shd w:fill="FFFFFF" w:val="cle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related to convertible notes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capped calls related to convertible notes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borrowings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revolving credit facility borrowings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(307,609</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other borrowings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other borrowings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 amendment fees paid</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shares, IMAX Corporation</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shares, IMAX China</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withheld and paid on employee stock awards vested</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issued - stock options exercised</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 under finance lease obligations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 to non-controlling interests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by financing activities</w:t>
            </w:r>
          </w:p>
        </w:tc>
        <w:tc>
          <w:tcPr>
            <w:tcW w:w="246" w:type="dxa"/>
            <w:tcBorders/>
            <w:shd w:fill="FFFFFF" w:val="cle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(58,514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(132,720</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on cash</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Decrease in cash and cash equivalents during year</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(21,201</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(127,668</w:t>
            </w:r>
          </w:p>
        </w:tc>
        <w:tc>
          <w:tcPr>
            <w:tcW w:w="4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beginning of year</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317,379</w:t>
            </w:r>
          </w:p>
        </w:tc>
        <w:tc>
          <w:tcPr>
            <w:tcW w:w="411" w:type="dxa"/>
            <w:tcBorders/>
            <w:shd w:fill="CFF0FC" w:val="clear"/>
            <w:vAlign w:val="center"/>
          </w:tcPr>
          <w:p>
            <w:pPr>
              <w:pStyle w:val="TableContents"/>
              <w:bidi w:val="0"/>
              <w:spacing w:before="0" w:after="283"/>
              <w:jc w:val="left"/>
              <w:rPr/>
            </w:pPr>
            <w:r>
              <w:rPr/>
              <w:t> </w:t>
            </w:r>
          </w:p>
        </w:tc>
      </w:tr>
      <w:tr>
        <w:trPr/>
        <w:tc>
          <w:tcPr>
            <w:tcW w:w="54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year</w:t>
            </w:r>
          </w:p>
        </w:tc>
        <w:tc>
          <w:tcPr>
            <w:tcW w:w="246" w:type="dxa"/>
            <w:tcBorders/>
            <w:shd w:fill="FFFFFF" w:val="cle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76,200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97,401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189,711</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accompanying notes, which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IMAX CORPORATION</w:t>
      </w:r>
    </w:p>
    <w:p>
      <w:pPr>
        <w:pStyle w:val="TextBody"/>
        <w:bidi w:val="0"/>
        <w:jc w:val="center"/>
        <w:rPr>
          <w:rFonts w:ascii="Times New Roman" w:hAnsi="Times New Roman"/>
          <w:b/>
          <w:color w:val="000000"/>
          <w:sz w:val="16"/>
        </w:rPr>
      </w:pPr>
      <w:bookmarkStart w:id="23" w:name="consolidated_statements_shareholders_equ"/>
      <w:bookmarkEnd w:id="23"/>
      <w:r>
        <w:rPr>
          <w:rFonts w:ascii="Times New Roman" w:hAnsi="Times New Roman"/>
          <w:b/>
          <w:color w:val="000000"/>
          <w:sz w:val="16"/>
        </w:rPr>
        <w:t>CONSOLIDATED STATEMENTS OF SHAREHOLDERS' EQUITY</w:t>
      </w:r>
    </w:p>
    <w:p>
      <w:pPr>
        <w:pStyle w:val="TextBody"/>
        <w:bidi w:val="0"/>
        <w:jc w:val="center"/>
        <w:rPr>
          <w:rFonts w:ascii="Times New Roman" w:hAnsi="Times New Roman"/>
          <w:i/>
          <w:color w:val="000000"/>
          <w:sz w:val="16"/>
        </w:rPr>
      </w:pPr>
      <w:r>
        <w:rPr>
          <w:rFonts w:ascii="Times New Roman" w:hAnsi="Times New Roman"/>
          <w:i/>
          <w:color w:val="000000"/>
          <w:sz w:val="16"/>
        </w:rPr>
        <w:t>(In thousands of U.S. Dollars except share amounts)</w:t>
      </w:r>
    </w:p>
    <w:tbl>
      <w:tblPr>
        <w:tblW w:w="10205" w:type="dxa"/>
        <w:jc w:val="left"/>
        <w:tblInd w:w="0" w:type="dxa"/>
        <w:tblLayout w:type="fixed"/>
        <w:tblCellMar>
          <w:top w:w="28" w:type="dxa"/>
          <w:left w:w="28" w:type="dxa"/>
          <w:bottom w:w="28" w:type="dxa"/>
          <w:right w:w="28" w:type="dxa"/>
        </w:tblCellMar>
      </w:tblPr>
      <w:tblGrid>
        <w:gridCol w:w="5488"/>
        <w:gridCol w:w="346"/>
        <w:gridCol w:w="196"/>
        <w:gridCol w:w="916"/>
        <w:gridCol w:w="166"/>
        <w:gridCol w:w="146"/>
        <w:gridCol w:w="196"/>
        <w:gridCol w:w="916"/>
        <w:gridCol w:w="166"/>
        <w:gridCol w:w="146"/>
        <w:gridCol w:w="196"/>
        <w:gridCol w:w="916"/>
        <w:gridCol w:w="411"/>
      </w:tblGrid>
      <w:tr>
        <w:trPr/>
        <w:tc>
          <w:tcPr>
            <w:tcW w:w="54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8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capital stock:</w:t>
            </w:r>
          </w:p>
        </w:tc>
        <w:tc>
          <w:tcPr>
            <w:tcW w:w="3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407,020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 in shares held in treasury</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Restricted share units vested, net of shares withheld for employee tax obligations</w:t>
            </w:r>
          </w:p>
        </w:tc>
        <w:tc>
          <w:tcPr>
            <w:tcW w:w="3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Employee stock options exercised, net of shares withheld for employee tax obligations</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Grant date fair value of stock options exercised</w:t>
            </w:r>
          </w:p>
        </w:tc>
        <w:tc>
          <w:tcPr>
            <w:tcW w:w="3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Average carrying value of repurchased and retired common shares</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(46,808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(8,039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shares in acquisition</w:t>
            </w:r>
          </w:p>
        </w:tc>
        <w:tc>
          <w:tcPr>
            <w:tcW w:w="3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409,979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other equity:</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188,845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Amortization of share-based payment expense - stock options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Amortization of share-based payment expense - restricted share units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Amortization of share-based payment expense - performance stock units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Restricted share units vested</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(21,074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(16,441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Grant date fair value of stock options exercised</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 in ownership interest related to IMAX China common share repurchases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Purchase of capped calls related to convertible notes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(19,067</w:t>
            </w:r>
          </w:p>
        </w:tc>
        <w:tc>
          <w:tcPr>
            <w:tcW w:w="4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185,087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185,678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174,620</w:t>
            </w:r>
          </w:p>
        </w:tc>
        <w:tc>
          <w:tcPr>
            <w:tcW w:w="4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statutory surplus reserve:</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Establishment of statutory surplus reserve, IMAX China</w:t>
            </w:r>
          </w:p>
        </w:tc>
        <w:tc>
          <w:tcPr>
            <w:tcW w:w="3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period</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accumulated deficit:</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(293,124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(234,975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(202,849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income (loss) attributable to common shareholders</w:t>
            </w:r>
          </w:p>
        </w:tc>
        <w:tc>
          <w:tcPr>
            <w:tcW w:w="3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(22,800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Statutory surplus reserve deducted from retained earnings, IMAX China</w:t>
            </w:r>
          </w:p>
        </w:tc>
        <w:tc>
          <w:tcPr>
            <w:tcW w:w="3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Common shares repurchased and retired</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(234,975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accumulated other comprehensive (loss) income:</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comprehensive (loss) income, net of tax</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Adjustments to non-controlling interests:</w:t>
            </w:r>
          </w:p>
        </w:tc>
        <w:tc>
          <w:tcPr>
            <w:tcW w:w="3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income attributable to non-controlling interests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comprehensive (loss) income, net of tax</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(5,927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Share-based compensation attributable to non-controlling interests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Establishment of statutory surplus reserve, IMAX China</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Statutory surplus reserve deducted from IMAX China retained earnings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Dividends paid to non-controlling shareholders of IMAX China</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Change in ownership interest related to IMAX China common share repurchases</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Shareholders’ Equity</w:t>
            </w:r>
          </w:p>
        </w:tc>
        <w:tc>
          <w:tcPr>
            <w:tcW w:w="3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344,931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329,046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429,614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7"/>
              </w:rPr>
            </w:pPr>
            <w:r>
              <w:rPr>
                <w:rFonts w:ascii="Times New Roman" w:hAnsi="Times New Roman"/>
                <w:b/>
                <w:color w:val="000000"/>
                <w:sz w:val="17"/>
              </w:rPr>
              <w:t>Common shares issued and outstanding:</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48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beginning of year</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54,148,614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58,653,642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58,921,008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Employee stock options exercised</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Restricted share units and stock option exercises settled from treasury shares purchased on open market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Performance stock units settled with new treasury shares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Restricted share units settled with new treasury shares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531,629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Repurchase of common shares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(1,636,027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(5,261,852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(841,331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shares in acquisition</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end of year</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53,260,276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54,148,614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58,653,642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6"/>
        </w:rPr>
      </w:pPr>
      <w:r>
        <w:rPr>
          <w:rFonts w:ascii="Times New Roman" w:hAnsi="Times New Roman"/>
          <w:i/>
          <w:color w:val="000000"/>
          <w:sz w:val="16"/>
        </w:rPr>
        <w:t>(See the accompanying notes, which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IMAX CORPORATION</w:t>
      </w:r>
    </w:p>
    <w:p>
      <w:pPr>
        <w:pStyle w:val="TextBody"/>
        <w:bidi w:val="0"/>
        <w:jc w:val="center"/>
        <w:rPr>
          <w:rFonts w:ascii="Times New Roman" w:hAnsi="Times New Roman"/>
          <w:b/>
          <w:color w:val="000000"/>
          <w:sz w:val="20"/>
        </w:rPr>
      </w:pPr>
      <w:bookmarkStart w:id="24" w:name="notes_to_fs"/>
      <w:bookmarkEnd w:id="24"/>
      <w:r>
        <w:rPr>
          <w:rFonts w:ascii="Times New Roman" w:hAnsi="Times New Roman"/>
          <w:b/>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(Tabular amounts in thousands of U.S. Dollars, unless otherwise stated)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 As of December 31, 2023, IMAX Corporation indirectly owns 71.55% of IMAX China Holding, Inc. (“IMAX China”), whose shares trade on the Hong Kong Stock Exchange. IMAX China is a consolidated subsidiary of the Company.</w:t>
      </w:r>
    </w:p>
    <w:p>
      <w:pPr>
        <w:pStyle w:val="TextBody"/>
        <w:bidi w:val="0"/>
        <w:spacing w:before="200" w:after="283"/>
        <w:jc w:val="both"/>
        <w:rPr>
          <w:rFonts w:ascii="Times New Roman" w:hAnsi="Times New Roman"/>
          <w:sz w:val="20"/>
        </w:rPr>
      </w:pPr>
      <w:r>
        <w:rPr>
          <w:rFonts w:ascii="Times New Roman" w:hAnsi="Times New Roman"/>
          <w:color w:val="000000"/>
          <w:sz w:val="20"/>
        </w:rPr>
        <w:t>IMAX is a premier global technology platform for entertainment and events. Through its proprietary software, auditorium architecture, patented intellectual property, and specialized equipment, IMAX offers a unique end-to-end solution to create superior, immersive content experiences for which the IMAX</w:t>
      </w:r>
      <w:r>
        <w:rPr>
          <w:rFonts w:ascii="Times New Roman" w:hAnsi="Times New Roman"/>
          <w:color w:val="000000"/>
          <w:sz w:val="13"/>
        </w:rPr>
        <w:t>®</w:t>
      </w:r>
      <w:r>
        <w:rPr>
          <w:rFonts w:ascii="Times New Roman" w:hAnsi="Times New Roman"/>
          <w:color w:val="000000"/>
          <w:sz w:val="20"/>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leverages its proprietary technology and engineering in all aspects of its business, which principally consists of the IMAX film remastering (“IMAX Film Remastering” and formerly known as “IMAX DMR”) and the sale or lease of premium IMAX theater systems (“IMAX System(s)”).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Systems are based on proprietary and patented image, audio and other technology developed over the course of the Company’s history since its founding in 1967. The customers for IMAX Systems are principally theatrical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to exhibitor customers along with a license to use its trademarks and ongoing maintenance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there were 1,772 IMAX Systems operating in 90 countries and territories, including 1,693 commercial multiplexes, 12 commercial destinations and 67 institutional locations in the Company’s global network. This compares to 1,716 IMAX Systems operating in 87 countries and territories as of December 31, 2022 including 1,633 commercial multiplexes, 12 commercial destinations, and 71 institutional locations in the Company’s global network.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distributes large-format documentary films, primarily to institutional theaters, and distributes exclusive IMAX events and experiences. In addition, the Company provides film post-production and quality control services for large-format films, whether produced by IMAX or third parties, and digital post-production services.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prepares its Consolidated Financial Statements in accordance with United States Generally Accepted Accounting Principles (“U.S. GAAP”) and pursuant to the rules and regulations of the Securities and Exchange Commission (the “SEC”). The significant accounting policies used by the Company are summarized below.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interests in 10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25(b).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Consolidated Financial Statements. A loss in value of an equity method investment that is other than temporary is recognized as a charge in the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and 2022, total assets and liabilities of the Company’s consolidated VIEs are as follows:</w:t>
      </w:r>
    </w:p>
    <w:p>
      <w:pPr>
        <w:pStyle w:val="TextBody"/>
        <w:bidi w:val="0"/>
        <w:jc w:val="both"/>
        <w:rPr/>
      </w:pPr>
      <w:r>
        <w:rPr/>
        <w:t> </w:t>
      </w:r>
    </w:p>
    <w:tbl>
      <w:tblPr>
        <w:tblW w:w="5240" w:type="dxa"/>
        <w:jc w:val="left"/>
        <w:tblInd w:w="0" w:type="dxa"/>
        <w:tblLayout w:type="fixed"/>
        <w:tblCellMar>
          <w:top w:w="28" w:type="dxa"/>
          <w:left w:w="28" w:type="dxa"/>
          <w:bottom w:w="28" w:type="dxa"/>
          <w:right w:w="28" w:type="dxa"/>
        </w:tblCellMar>
      </w:tblPr>
      <w:tblGrid>
        <w:gridCol w:w="2221"/>
        <w:gridCol w:w="146"/>
        <w:gridCol w:w="294"/>
        <w:gridCol w:w="801"/>
        <w:gridCol w:w="146"/>
        <w:gridCol w:w="146"/>
        <w:gridCol w:w="294"/>
        <w:gridCol w:w="80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(b)</w:t>
      </w:r>
    </w:p>
    <w:p>
      <w:pPr>
        <w:pStyle w:val="TextBody"/>
        <w:bidi w:val="0"/>
        <w:jc w:val="both"/>
        <w:rPr>
          <w:rFonts w:ascii="Times New Roman" w:hAnsi="Times New Roman"/>
          <w:b/>
          <w:i/>
          <w:color w:val="000000"/>
          <w:sz w:val="20"/>
        </w:rPr>
      </w:pPr>
      <w:r>
        <w:rPr>
          <w:rFonts w:ascii="Times New Roman" w:hAnsi="Times New Roman"/>
          <w:b/>
          <w:i/>
          <w:color w:val="000000"/>
          <w:sz w:val="20"/>
        </w:rPr>
        <w:t>Estimates and Assumptions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IMAX System equipment supporting joint revenue sharing arrangements; (vii) the economic lives of the IMAX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(xiv) reserves related to uncertain tax positions; and (xv) the allocation of the purchase price for the acquisition of SSIMWAVE Inc. and its wholly-owned subsidiary (together, “SSIMWAVE”).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In 2022, the Company recorded provisions for potential credit losses against substantially all of its receivables in Russia due to uncertainties associated with the ongoing conflict and resulting sanctions. These receivables relate to existing sale agreements as the Company is not party to any joint revenue sharing arrangements in these countries. In addition, exhibitors in Russia, Ukraine, and Belarus were placed on nonaccrual status for maintenance revenue and finance income. In 2023, due to the resumption of operations throughout Ukraine’s theatrical exhibition industry, as evidenced by the reopening of all IMAX Systems in Ukraine and payments received from exhibitor customers therein, the Company recognized maintenance revenue and finance income in connection with those theaters. The Company closely monitors geopolitical conflicts (including any government sanctions imposed in response thereto) and its effects on the global economy and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Court approved Cineworld’s Plan of Reorganization (the “Plan”) on June 28, 2023, in which Cineworld disclosed that it plans to emerge from the Chapter 11 proceedings on or about July 28, 2023. On August 30, 2023, the Company and Cineworld entered into a Joint Stipulation and Agreed Order, which was entered by the Court on September 21, 2023 (the “Stipulation”), pursuant to which Cineworld assumed its global agreement with IMAX (the “Global Agreement”). The Stipulation provides that all amounts owed to IMAX will be paid by Cineworld and set out a revised timetable for all systems installations required of Cineworld under the Global Agreement. Cineworld has emerged from the Chapter 11 proceedings, and the Stipulation finalizes all matters between IMAX and Cineworld as a result of the restructuring. The Company has determined that no additional provision for expected credit losses is required.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all highly liquid investments convertible to a known amount of cash and with an original maturity of three months or less to be cash equivalents.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 xml:space="preserve">Receivables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write-off of any billed receivable balance requires the approval of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5 for more information related to the Company’s receivables and current expected credit losses.)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related to IMAX Systems under sale and sales-type lease arrangements are transferred from Inventories to Costs and Expenses Applicable to Revenues – Technology Sales in the period when the sale is recognized in the Consolidated Statements of Operations. The costs related to IMAX Systems under joint revenue sharing arrangements are transferred from Inventories to assets under construction in Property, Plant and Equipment when allocated to a signed joint revenue sharing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Finished goods inventories includes IMAX Systems for which title has passed to the Company’s customer in situations when the IMAX System has been delivered to the customer, but the criteria for revenue recognition were not met as of the balance sheet date.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Film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10 years following the date of the film’s initial release.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Plant and Equipment is recorded at cost and is depreciated on a straight-line basis over the estimated useful lives of the underlying assets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8"/>
        <w:gridCol w:w="346"/>
        <w:gridCol w:w="6071"/>
      </w:tblGrid>
      <w:tr>
        <w:trPr/>
        <w:tc>
          <w:tcPr>
            <w:tcW w:w="37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7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IMAX System components</w:t>
            </w:r>
            <w:r>
              <w:rPr>
                <w:rFonts w:ascii="Times New Roman" w:hAnsi="Times New Roman"/>
                <w:color w:val="000000"/>
                <w:sz w:val="13"/>
              </w:rPr>
              <w:t>(1)</w:t>
            </w:r>
          </w:p>
        </w:tc>
        <w:tc>
          <w:tcPr>
            <w:tcW w:w="346" w:type="dxa"/>
            <w:tcBorders/>
            <w:vAlign w:val="center"/>
          </w:tcPr>
          <w:p>
            <w:pPr>
              <w:pStyle w:val="TableContents"/>
              <w:bidi w:val="0"/>
              <w:spacing w:before="0" w:after="283"/>
              <w:jc w:val="left"/>
              <w:rPr>
                <w:color w:val="000000"/>
              </w:rPr>
            </w:pPr>
            <w:r>
              <w:rPr>
                <w:color w:val="000000"/>
              </w:rPr>
              <w:t>—</w:t>
            </w:r>
          </w:p>
        </w:tc>
        <w:tc>
          <w:tcPr>
            <w:tcW w:w="6071" w:type="dxa"/>
            <w:tcBorders/>
            <w:vAlign w:val="center"/>
          </w:tcPr>
          <w:p>
            <w:pPr>
              <w:pStyle w:val="TableContents"/>
              <w:bidi w:val="0"/>
              <w:spacing w:before="0" w:after="283"/>
              <w:jc w:val="left"/>
              <w:rPr/>
            </w:pPr>
            <w:r>
              <w:rPr>
                <w:color w:val="000000"/>
              </w:rPr>
              <w:t> </w:t>
            </w:r>
            <w:r>
              <w:rPr>
                <w:rFonts w:ascii="Times New Roman" w:hAnsi="Times New Roman"/>
                <w:color w:val="000000"/>
                <w:sz w:val="20"/>
              </w:rPr>
              <w:t>Over the equipment’s expected useful life (7 to 20 years)</w:t>
            </w:r>
          </w:p>
        </w:tc>
      </w:tr>
      <w:tr>
        <w:trPr/>
        <w:tc>
          <w:tcPr>
            <w:tcW w:w="3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Camera equipment and connectivity equipment</w:t>
            </w:r>
          </w:p>
        </w:tc>
        <w:tc>
          <w:tcPr>
            <w:tcW w:w="346" w:type="dxa"/>
            <w:tcBorders/>
            <w:vAlign w:val="center"/>
          </w:tcPr>
          <w:p>
            <w:pPr>
              <w:pStyle w:val="TableContents"/>
              <w:bidi w:val="0"/>
              <w:spacing w:before="0" w:after="283"/>
              <w:jc w:val="left"/>
              <w:rPr>
                <w:color w:val="000000"/>
              </w:rPr>
            </w:pPr>
            <w:r>
              <w:rPr>
                <w:color w:val="000000"/>
              </w:rPr>
              <w:t>—</w:t>
            </w:r>
          </w:p>
        </w:tc>
        <w:tc>
          <w:tcPr>
            <w:tcW w:w="6071" w:type="dxa"/>
            <w:tcBorders/>
            <w:vAlign w:val="center"/>
          </w:tcPr>
          <w:p>
            <w:pPr>
              <w:pStyle w:val="TableContents"/>
              <w:bidi w:val="0"/>
              <w:spacing w:before="0" w:after="283"/>
              <w:jc w:val="left"/>
              <w:rPr/>
            </w:pPr>
            <w:r>
              <w:rPr>
                <w:color w:val="000000"/>
              </w:rPr>
              <w:t> </w:t>
            </w:r>
            <w:r>
              <w:rPr>
                <w:rFonts w:ascii="Times New Roman" w:hAnsi="Times New Roman"/>
                <w:color w:val="000000"/>
                <w:sz w:val="20"/>
              </w:rPr>
              <w:t>Over a period between 5 to 10 years</w:t>
            </w:r>
          </w:p>
        </w:tc>
      </w:tr>
      <w:tr>
        <w:trPr/>
        <w:tc>
          <w:tcPr>
            <w:tcW w:w="3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vAlign w:val="center"/>
          </w:tcPr>
          <w:p>
            <w:pPr>
              <w:pStyle w:val="TableContents"/>
              <w:bidi w:val="0"/>
              <w:spacing w:before="0" w:after="283"/>
              <w:jc w:val="left"/>
              <w:rPr>
                <w:color w:val="000000"/>
              </w:rPr>
            </w:pPr>
            <w:r>
              <w:rPr>
                <w:color w:val="000000"/>
              </w:rPr>
              <w:t>—</w:t>
            </w:r>
          </w:p>
        </w:tc>
        <w:tc>
          <w:tcPr>
            <w:tcW w:w="6071" w:type="dxa"/>
            <w:tcBorders/>
            <w:vAlign w:val="center"/>
          </w:tcPr>
          <w:p>
            <w:pPr>
              <w:pStyle w:val="TableContents"/>
              <w:bidi w:val="0"/>
              <w:spacing w:before="0" w:after="283"/>
              <w:jc w:val="left"/>
              <w:rPr/>
            </w:pPr>
            <w:r>
              <w:rPr>
                <w:color w:val="000000"/>
              </w:rPr>
              <w:t> </w:t>
            </w:r>
            <w:r>
              <w:rPr>
                <w:rFonts w:ascii="Times New Roman" w:hAnsi="Times New Roman"/>
                <w:color w:val="000000"/>
                <w:sz w:val="20"/>
              </w:rPr>
              <w:t>Over a period between 20 to 25 years</w:t>
            </w:r>
          </w:p>
        </w:tc>
      </w:tr>
      <w:tr>
        <w:trPr/>
        <w:tc>
          <w:tcPr>
            <w:tcW w:w="3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production equipment</w:t>
            </w:r>
          </w:p>
        </w:tc>
        <w:tc>
          <w:tcPr>
            <w:tcW w:w="346" w:type="dxa"/>
            <w:tcBorders/>
            <w:vAlign w:val="center"/>
          </w:tcPr>
          <w:p>
            <w:pPr>
              <w:pStyle w:val="TableContents"/>
              <w:bidi w:val="0"/>
              <w:spacing w:before="0" w:after="283"/>
              <w:jc w:val="left"/>
              <w:rPr>
                <w:color w:val="000000"/>
              </w:rPr>
            </w:pPr>
            <w:r>
              <w:rPr>
                <w:color w:val="000000"/>
              </w:rPr>
              <w:t>—</w:t>
            </w:r>
          </w:p>
        </w:tc>
        <w:tc>
          <w:tcPr>
            <w:tcW w:w="6071" w:type="dxa"/>
            <w:tcBorders/>
            <w:vAlign w:val="center"/>
          </w:tcPr>
          <w:p>
            <w:pPr>
              <w:pStyle w:val="TableContents"/>
              <w:bidi w:val="0"/>
              <w:spacing w:before="0" w:after="283"/>
              <w:jc w:val="left"/>
              <w:rPr/>
            </w:pPr>
            <w:r>
              <w:rPr>
                <w:color w:val="000000"/>
              </w:rPr>
              <w:t> </w:t>
            </w:r>
            <w:r>
              <w:rPr>
                <w:rFonts w:ascii="Times New Roman" w:hAnsi="Times New Roman"/>
                <w:color w:val="000000"/>
                <w:sz w:val="20"/>
              </w:rPr>
              <w:t>Over a period between 3 to 5 years</w:t>
            </w:r>
          </w:p>
        </w:tc>
      </w:tr>
      <w:tr>
        <w:trPr/>
        <w:tc>
          <w:tcPr>
            <w:tcW w:w="3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vAlign w:val="center"/>
          </w:tcPr>
          <w:p>
            <w:pPr>
              <w:pStyle w:val="TableContents"/>
              <w:bidi w:val="0"/>
              <w:spacing w:before="0" w:after="283"/>
              <w:jc w:val="left"/>
              <w:rPr>
                <w:color w:val="000000"/>
              </w:rPr>
            </w:pPr>
            <w:r>
              <w:rPr>
                <w:color w:val="000000"/>
              </w:rPr>
              <w:t>—</w:t>
            </w:r>
          </w:p>
        </w:tc>
        <w:tc>
          <w:tcPr>
            <w:tcW w:w="6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the shorter of the initial term of the underlying lease plus any reasonably</w:t>
            </w:r>
          </w:p>
        </w:tc>
      </w:tr>
      <w:tr>
        <w:trPr/>
        <w:tc>
          <w:tcPr>
            <w:tcW w:w="3788"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6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assured renewal periods, and the useful life of the asset</w:t>
            </w:r>
          </w:p>
        </w:tc>
      </w:tr>
    </w:tbl>
    <w:p>
      <w:pPr>
        <w:pStyle w:val="TextBody"/>
        <w:pBdr>
          <w:bottom w:val="single" w:sz="4" w:space="1" w:color="000000"/>
        </w:pBdr>
        <w:bidi w:val="0"/>
        <w:jc w:val="both"/>
        <w:rPr/>
      </w:pPr>
      <w:r>
        <w:rPr/>
        <w:t> </w:t>
      </w:r>
    </w:p>
    <w:p>
      <w:pPr>
        <w:pStyle w:val="TextBody"/>
        <w:bidi w:val="0"/>
        <w:spacing w:before="4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Includes equipment under joint revenue sharing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cost of IMAX System components and related equipment expected to be used in future joint revenue sharing arrangements, including related direct labor costs and an allocation of direct production costs, are recorded within assets under construction until the underlying IMAX System is installed and in working condition. These assets are depreciated to Costs and Expenses Applicable to Revenues on a straight-line basis over the lesser of the term of the joint revenue sharing arrangement and the equipment’s expected useful life. The estimated useful lives of the system components and related equipment used in joint revenue sharing arrangements are reviewed periodically to determine if any adjustments are required.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 in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Equity securities with readily determinable fair values are reported at fair value with changes in fair value recorded within Realized and Unrealized Investment Gains (Losses) in the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 xml:space="preserve">Other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Assets principally includes lease incentives provided to certain exhibitor customers under joint revenue sharing arrangements classified as an operating lease,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Capitalized lease incentives are amortized on a straight-line basis over the term of the lease and are recorded within Costs and Expenses Applicable to Revenues — Technology Rentals. Sales commissions and other selling expenses paid prior to the recognition of the related revenue are deferred and recognized within Costs and Expenses Applicable to Revenues upon the client acceptance of the IMAX System or the abandonment of the sale arrangement. Foreign currency derivatives are accounted for at fair value using quoted prices in active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(Refer to Note 14 for information related to the Company’s borrowings.)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(j)</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intangible assets with finite lives are generally amortized on a straight-line basis over estimated useful lives ranging from 3 to 20 years, except for intangible assets that have an identifiable pattern of consumption of the economic benefit of the asset. Such intangible assets are amortized over the consumption pattern.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acquired in a business combination is measured at fair value using market-participant assumptions and is initially classified as an indefinite-lived intangible asset. The in-process intangible research and development (“IPR&amp;D”) assets are considered indefinite-lived until the abandonment or completion of the associated research and development efforts. If the acquired IPR&amp;D project is abandoned, the related intangible would be written off or impaired. Once the IPR&amp;D activities are completed, management would determine the useful lives and the methods of amortization of the related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no later than the point at which the project is substantially complete and ready for its intended purpose. Costs incurred during the preliminary project and post-implementation stages are charged to expense. These capitalized costs are amortized on a straight-line basis over the estimated useful life.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location increases as progress payments are made and is then derecognized when control of the system is transferred to the customer. To a lesser extent, the Deferred Revenue balance also relates to situations when an exhibitor customer pays the contractual maintenance fee prior to the recognition of revenue.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Statutory Surplus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corporate law of the People’s Republic of China (“PRC”), entities registered in the PRC are required to maintain certain statutory reserves, which are appropriated from after-tax profits, after offsetting accumulated losses from prior year and before dividends can be declared or paid to equity holders.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w:t>
      </w:r>
      <w:r>
        <w:rPr>
          <w:rFonts w:ascii="Times New Roman" w:hAnsi="Times New Roman"/>
          <w:color w:val="333333"/>
          <w:sz w:val="20"/>
        </w:rPr>
        <w:t xml:space="preserve">The statutory surplus reserve is non-distributable other than during liquidation and may </w:t>
      </w:r>
      <w:r>
        <w:rPr>
          <w:rFonts w:ascii="Times New Roman" w:hAnsi="Times New Roman"/>
          <w:color w:val="000000"/>
          <w:sz w:val="20"/>
        </w:rPr>
        <w:t>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the current period.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subject to ongoing tax exposures, examinations and assessments in various jurisdictions. Tax benefits are recognized only when it is more likely than not, based on the technical merits, that the benefits will be sustained on examination. Tax benefits that meet the more likely than not recognition threshold are measured using a probability weighting of the largest amount of tax benefit that has greater than 50% likelihood of being realized upon settlement. Whether the more likely than 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Systems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evaluates each of the performance obligations in an IMAX System arrangement to determine which are considered distinct, either individually or in a group, for accounting purposes and which of the deliverables represent separate performance obligations.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“System Obligation” consists of the following: (i) an IMAX System, which includes the projector, sound system, screen system and, if applicable, a 3D glasses cleaning machine; (ii) services associated with the IMAX System, including auditorium design support, the supervision of installation services, and projectionist training; and (iii) a license to use the IMAX brand to market the auditorium.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over the contract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in an IMAX System arrangement is allocated to each good or service that is identified as a separate performance obligation based on estimated standalone selling prices. This allocation is based on observable prices when the Company sells the goods or services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System arrangements involve either the lease or the sale of an IMAX System. The transaction price for the System Obligation, other than for IMAX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exhibitor customer if certain minimum box office receipt thresholds are exceeded. In addition, hybrid sales arrangements include amounts owed by the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location, which are developed using historical data for the location and, if necessary, comparable theaters and territories (see “Constraints on the Recognition of Variable Consideration” below). Transfer of control of the System Obligation occurs at the earlier of client acceptance of the installation of the IMAX System, including projectionist training, and the opening of the location to the public, as discussed in more detail below.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IMAX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Sales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IMAX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IMAX System.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initial revenue recognized in a sales arrangement consists of payments made before and in connection with the installation of the IMAX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hybrid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Taxes assessed by governmental authorities that are both imposed on and concurrent with the specific revenue-producing transactions and collected by the Company have been excluded from the measurement of the transaction prices discussed above.</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Constraints on the Recognition of Variable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box office performance and, when applicable, updated box office projections for future periods. The relevant accounting guidance identifies the following examples of situations when constraining the amount of variable consideration is appropriate: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of consideration is highly susceptible to factors outside the entity’s influence;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uncertainty about the amount of consideration is not expected to be resolved for a long period of time;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Company’s experience (or other evidence) with similar types of contracts is limited, or that experience has limited predictive value;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entity has a practice of either offering a broad range of price concessions or changing the payment terms and conditions of similar contracts in similar circumstances.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discussed above, the Company’s significant streams of variable consideration relate to arrangements for the sale of IMAX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exhibition markets to estimate the most likely amount of variable consideration to be earned over the term of the arrangement. Management then applies a constraint to this estimate by reducing the projection by a percentage factor for locations or markets with no or limited historical box office experience. In cases where direct historical experience can be observed, average historical box office results, eliminating significant outliers, is used. The resulting amount of variable consideration is then recorded at its present value as of the date of recognition using a risk-weighted discount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Lease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lessor, the Company provides IMAX Systems to customers through long-term lease arrangements. Under these arrangements, in exchange for providing the IMAX System, the Company earns fixed upfront and ongoing consideration. A lease arrangement that transfers substantially all of the benefits and risks incident to ownership of the IMAX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 (b) the public opening of the theater, provided collectability is reasonably assured.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joint revenue sharing arrangements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Finance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Income recognition related to the location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Improvements and Modifications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Improvements and modifications to an IMAX System after installation are treated as a separate performance obligation, if and when the Company is requested to perform these services. Revenue is recognized for these services once they have been provided.</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Costs and Expenses Applicable to Revenues – Technology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Costs and Expenses Applicable to Revenues – Technology Sales relates to sale and sales-type leases of IMAX Systems and other equipment, and includes the cost of the equipment and costs related to project management, design, delivery and installation supervision services, as applicable. The costs related to IMAX Systems under sale and sales-type lease arrangements are transferred from Inventories to Costs and Expenses Applicable to Revenues in the period when the sale is recognized in the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Costs and Expenses Applicable to Revenues – Technology Rentals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Applicable to Revenues – Technology Rentals relates to joint revenue sharing arrangements classified as operating leases, and primarily includes the depreciation of IMAX System components and related equipment used in the joint revenue sharing arrangement. Impairment losses, if any, are also included in Costs and Expenses Applicable to Revenues – Technology Rentals. Sales commissions related to these arrangements are deferred and recognized as Costs and Expenses Applicable to Revenues – Technology Rentals in the month they are earned by the salesperson, which is typically the month of installation. Direct advertising and marketing costs for each location are charged to Costs and Expenses Applicable to Revenues – Technology Rentals as incurred.</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Terminations, Consensual Buyouts and Concessions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enters into IMAX System arrangements with customers that contain customer payment obligations prior to the scheduled installation of the IMAX System. During the period of time between signing and the installation of the IMAX System, which may extend several years, certain customers may be unable to, or may elect not to, proceed with the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a consensual buyout, the Company and the customer agree, in writing, to a settlement and to release each other of any further obligations under the arrangement or an arbitrated settlement is reached. Any initial payments retained or additional payments received by the Company are recognized as revenue when the settlement arrangements are executed and the cash is received,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may agree with a customer to convert its obligations for one type of IMAX System configuration that has not yet been installed to an arrangement to acquire or lease a different type of IMAX System. The Company considers these situations to be the termination of the original arrangement and the origination of a new arrangement.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offer certain incentives to customers to complete IMAX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Maintenance and Extended Warranty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 – Image Enhancement and Maintenance Services in the Consolidated Statements of Operations. Maintenance and extended warranty services include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 loss on maintenance and extended warranty services is recognized if the expected cost of providing the services under the contract exceeds the related deferred revenue. As the maintenance services are a stand ready obligation with the cost of providing the service expected to increase throughout the term, revenue is recognized over the term of the arrangement such that increased amounts are recognized in later periods.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Film Remastering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 film remastering arrangement, the Company receives a percentage of the box-office receipts from a third party who owns the copyright to a film in exchange for converting the film into an IMAX Film Remastering format and distributing it through the IMAX network. In these arrangements, although the Company does not hold rights to the intellectual property in the form of the film content, it is compensated for the application of its intellectual property in the form of its patented film remastering processes to create new intellectual property in the form of an IMAX Film Remastering version of film. Revenues associated with film remastering arrangements qualify for the variable consideration exemption for sales- or usage-based royalties in the relevant accounting guidance and are recognized within Revenues – Image Enhancement and Maintenance Services in the period when the corresponding box office sales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on IMAX Film Remastering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Film Remastering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Film Production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Film Distribution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Film Distribution arrangement, the Company distributes large-format documentary films, primarily to institutional locations,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 –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Film Post-Production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Revenues from post-production film services are recognized within Revenues – Image Enhancement and Maintenance Services when performance of the contracted services is completed.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Software License and Subscription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SSIMWAVE, the Company provides term licenses, which give customers the right to use its software for a specific period, and perpetual licenses, which give customers the right to use its software for an indefinite period. For both types of licenses, the associated revenue is recognized at the point in time when the customer can use and benefit from the software, which is generally upon delivery to the customer or upon commencement of the renewal term. For licenses that are deployed and hosted at the customer site, revenue is recognized upon delivery of the software to the customer or upon commencement of the renewal term. For licenses where the software is provided through a hosting arrangement, if the customer does not have a contractual right to take possession of the underlying software without significant penalty, or it is not feasible for the customer to run the software on its own hardware or contract a third party to host the services, the arrangement is accounted for as a service transaction whereby the Company has a stand-ready obligation to provide the software over the license period. Therefore, the related revenue is recognized ratably over the license period, as control of service is transferred to the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SSIMWAVE’s software license arrangements for both term and perpetual licenses typically include maintenance and support services which provide technical support and unspecified updates and upgrades on a when-and-if-available basis. The contractual term of the arrangement to provide maintenance and support services for perpetual licenses is renewable, generally on an annual basis, at the option of the customer. Maintenance and support services represent stand-ready obligations for which revenue is recognized ratably over the term of the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Revenues from licenses and maintenance and support services are recognized within Revenues – Image Enhancement and Maintenance Services.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lessee, the Company’s lease arrangements principally involve office and warehouse space, which are classified as operating leases. The corresponding operating lease right-of-use (“ROU”) assets and liabilities are recorded within Property, Plant and Equipment and Accrued and Other Liabilities in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the leasehold improvements, among other factors.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(Refer to Note 6 for additional information related to the Company’s operating leases.)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(q)</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which are expensed as incurred, primarily include projector and sound parts, labor, consulting fees, allocation of overheads, and other related materials which pertain to the Company’s development of new products and services. Research and development costs pertaining to fixed and intangible assets that have alternative future uses are capitalized and amortized under their related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Monetary assets and liabilities that are denominated in a currency other than the Company’s functional currency are translated into the relevant functional currency using the exchange rate prevailing at the end of the period. Foreign exchange translation gains and losses are included in the determination of earnings in the period in which they arise.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Income (Loss) and reported on the Company’s Consolidated Balance Sheets within Accumulated Other Comprehensive Loss until the subsidiary is sold or liquidated, at which point the adjustments are recognized in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currency derivatives are recognized and measured in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(Loss) Income and reclassified to the Consolidated Statements of Operations when the forecasted transaction occurs. Any ineffective portion is recognized immediately in the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 xml:space="preserve">Share-Based Compensation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17. The IMAX LTIP is the Company’s governing document and awards to employees, directors, and consultants under this plan may consist of stock options, restricted share units (“RSUs”), performance stock units (“PSUs”) and other awards. A separate share-based compensation plan, the China LTIP, was adopted by a subsidiary of the Company in October 2012.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share-based compensation expense using the grant date fair value of the award (see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no longer issues stock options as a form of employee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17(c) for the assumptions used to determine the fair value of the Company’s stock options.)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Restricted Share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respectively. The Company’s PSUs are classified as equity.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dollar value of the PSUs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and timing of compensation expense recognized for PSUs with Adjusted EBITDA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Payment Awards to Non-Employees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Pension Plans and Postretirement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defined benefit pension plan, the Supplemental Executive Retirement Plan (the “SERP”). As the Company’s SERP is unfunded, as of December 31, 2023, a liability is recognized for the benefit obligation.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(Loss) Income. Amounts recognized in Accumulated Other Comprehensive Loss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2023 was two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defined contribution pension plans, required contributions by the Company are recorded as an expense within Selling, General and Administrative Expenses in the Company’s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(Loss) Income. Amounts recognized in Accumulated Other Comprehensive Loss including unrecognized actuarial gains or losses are adjusted as they are subsequently recognized within Retirement Benefits Non-Service Expense in the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situations when the Company acts as a guarantor, at the inception of a guarantee, it recognizes a liability for the fair value of the underlying guarantee. Disclosures as required under the relevant accounting guidance have been included in Note 16.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New Accounting Standards and Accounting Changes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Adoption of New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2022, the FASB issued ASU No. 2022-02, “2022-02: Financial Instruments — 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public business entities to disclose current-period gross write offs by year of origination for financing receivables and net investments in leases. The Company adopted ASU 2022-02 on January 1, 2023. The adoption of ASU 2022-02 did not have a material impact on the Company’s Consolidated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2022, the FASB issued ASU No. 2022-04, “2022-04: Liabilities — Supplier Finance Programs (Subtopic 405-50): Disclosure of Supplier Finance Program Obligations” (“ASU 2022-04”). ASU 2022-04 requires that a buyer in a supplier finance program disclose sufficient information about the program to allow a user of financial statements to understand the program’s nature, activity during the period, changes from period to period, and potential magnitude. The Company adopted ASU 2022-04 on January 1, 2023. The adoption of ASU 2022-04 did not have a material impact on the Company’s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FASB Accounting Standard Codification Updates Not Yet Adopted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2020, the FASB issued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In October 2022, the FASB extended the temporary accounting relief to December 31, 2024 from the current sunset date of December 31, 2022. As of December 31, 2023, the Company is not party to any third party contracts that reference the London Interbank Offered Rate (LIBOR). Accordingly, the Company does not expect ASU 2020-04 to have a material effect on its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FASB issued Accounting Standards Update No. 2023-06, Disclosure Improvements: Codification Amendments in response to the SEC’s Disclosure Update and Simplification Initiative (“ASU 2023-06”). This ASU incorporates into U.S. GAAP certain presentation and disclosure requirements currently included in the SEC’s regulations. Each amendment will become effective prospectively from the date the SEC withdrawals the corresponding SEC regulatory requirement. The Company is still evaluating this ASU, however, given that it is subject to the corresponding SEC regulatory requirements, it does not expect the ASU to have a material impact on its Consolidated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2023, the FASB issued Accounting Standards Update No. 2023-07, Segment Reporting (Topic 820): Improvements to Reportable Segment Reporting (“ASU 2023-07”). The purpose of ASU 2023-07 is to enhance the interim disclosure requirements by more closely aligning them with the annual requirements. ASU 2023-07 requires interim and annual disclosures to include information about the company's significant segment expenses. ASU 2023-07 will be effective for the Company’s year ended December 31, 2024 and all interim periods thereafter. The Company is still evaluating the impact of this ASU on its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2023, the FASB issued Accounting Standard Update 2023-09, Income Taxes (Topic 740) - Improvements to Income Tax Disclosures (“ASU 2023-09”). The amendments improve the transparency of income tax disclosures by requiring (i) consistent categories and greater disaggregation of information in the rate reconciliation, and (ii) income taxes paid disaggregated by jurisdiction. ASU 2023-09 will be effective for the Company’s year ended December 31, 2025. The Company is still evaluating the impact of this ASU on its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the applicability and impact of all recently issued FASB accounting standard codification updates. Accounting standard updates that are not noted above were assessed and determined to be not applicable or not significant to the Company’s Consolidated Financial Statements for the year ended December 31,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22, 2022, the Company acquired all of the issued and outstanding shares of SSIMWAVE pursuant to a share purchase agreement by and among the Company, SSIMWAVE, and related shareholders (the “Sellers”). SSIMWAVE provides perceptual quality measurement and optimization solutions based on artificial intelligence technologies for leading media and entertainment companies. Following the acquisition, SSIMWAVE became a wholly-owned subsidiary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consideration for the acquisition of SSIMWAVE, the Company paid an aggregate purchase price of $23.2 million, consisted of: (i) $19.5 million in cash, (ii) 160,547 common shares of the Company with a fair value of $1.9 million (the “IMAX Share Consideration”), and (iii) contingent consideration with a fair value of $1.8 million (the “Earn-Out Payment”). The fair value of the IMAX Share Consideration, which is based on the share price on the date of the acquisition, is reduced to reflect the fair value of certain restrictions on the future transfer of the shares. The Earn-Out Payment may be paid to certain Sellers in an aggregate amount of up to $2.0 million in cash, contingent upon and following the achievement of certain commercial and financial milestones during the period from January 1, 2023 to December 31, 2024, or under certain terms March 31, 2025. The fair value of the Earn-Out Payment is based on management’s assessment of the likelihood of achieving these milestones.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revenues and earnings of SSIMWAVE for the period post-acquisition through December 31, 2022 were included in All Other for segment reporting and were not material to the Company’s Consolidated Financial Statements. During the year ended December 31, 2022, the Company incurred $1.1 million of professional fees in connection with the acquisition of SSIMWAVE, which were recorded within Selling, General and Administrative Expenses on the Company’s Consolidated Statements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accounted for the acquisition of SSIMWAVE as a business combination. The following table summarizes the allocation of the purchase price to the assets acquired and liabilities assumed as of December 31, 2022. </w:t>
      </w:r>
    </w:p>
    <w:tbl>
      <w:tblPr>
        <w:tblW w:w="7491" w:type="dxa"/>
        <w:jc w:val="left"/>
        <w:tblInd w:w="0" w:type="dxa"/>
        <w:tblLayout w:type="fixed"/>
        <w:tblCellMar>
          <w:top w:w="28" w:type="dxa"/>
          <w:left w:w="28" w:type="dxa"/>
          <w:bottom w:w="28" w:type="dxa"/>
          <w:right w:w="28" w:type="dxa"/>
        </w:tblCellMar>
      </w:tblPr>
      <w:tblGrid>
        <w:gridCol w:w="5921"/>
        <w:gridCol w:w="146"/>
        <w:gridCol w:w="211"/>
        <w:gridCol w:w="146"/>
        <w:gridCol w:w="676"/>
        <w:gridCol w:w="391"/>
      </w:tblGrid>
      <w:tr>
        <w:trPr/>
        <w:tc>
          <w:tcPr>
            <w:tcW w:w="5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Purchase Price</w:t>
            </w: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IMAX Share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Earn-Out Payment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Allocation of Purchase Price</w:t>
            </w: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(see Note 13)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 economic development loan, net of unaccreted interest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 (see Note 13)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allocation of the fair value of identified intangible assets is as follows:</w:t>
      </w:r>
    </w:p>
    <w:tbl>
      <w:tblPr>
        <w:tblW w:w="6993" w:type="dxa"/>
        <w:jc w:val="left"/>
        <w:tblInd w:w="0" w:type="dxa"/>
        <w:tblLayout w:type="fixed"/>
        <w:tblCellMar>
          <w:top w:w="28" w:type="dxa"/>
          <w:left w:w="28" w:type="dxa"/>
          <w:bottom w:w="28" w:type="dxa"/>
          <w:right w:w="28" w:type="dxa"/>
        </w:tblCellMar>
      </w:tblPr>
      <w:tblGrid>
        <w:gridCol w:w="3141"/>
        <w:gridCol w:w="242"/>
        <w:gridCol w:w="778"/>
        <w:gridCol w:w="146"/>
        <w:gridCol w:w="2686"/>
      </w:tblGrid>
      <w:tr>
        <w:trPr/>
        <w:tc>
          <w:tcPr>
            <w:tcW w:w="31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Life</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and trademarks</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FFFFFF" w:val="clear"/>
            <w:vAlign w:val="center"/>
          </w:tcPr>
          <w:p>
            <w:pPr>
              <w:pStyle w:val="TableContents"/>
              <w:bidi w:val="0"/>
              <w:spacing w:before="0" w:after="283"/>
              <w:jc w:val="left"/>
              <w:rPr/>
            </w:pPr>
            <w:r>
              <w:rPr/>
              <w:t> </w:t>
            </w:r>
          </w:p>
        </w:tc>
        <w:tc>
          <w:tcPr>
            <w:tcW w:w="2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46" w:type="dxa"/>
            <w:tcBorders/>
            <w:shd w:fill="CFF0FC" w:val="clear"/>
            <w:vAlign w:val="center"/>
          </w:tcPr>
          <w:p>
            <w:pPr>
              <w:pStyle w:val="TableContents"/>
              <w:bidi w:val="0"/>
              <w:spacing w:before="0" w:after="283"/>
              <w:jc w:val="left"/>
              <w:rPr/>
            </w:pPr>
            <w:r>
              <w:rPr/>
              <w:t> </w:t>
            </w:r>
          </w:p>
        </w:tc>
        <w:tc>
          <w:tcPr>
            <w:tcW w:w="2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to 7 Years</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46" w:type="dxa"/>
            <w:tcBorders/>
            <w:shd w:fill="FFFFFF" w:val="clear"/>
            <w:vAlign w:val="center"/>
          </w:tcPr>
          <w:p>
            <w:pPr>
              <w:pStyle w:val="TableContents"/>
              <w:bidi w:val="0"/>
              <w:spacing w:before="0" w:after="283"/>
              <w:jc w:val="left"/>
              <w:rPr/>
            </w:pPr>
            <w:r>
              <w:rPr/>
              <w:t> </w:t>
            </w:r>
          </w:p>
        </w:tc>
        <w:tc>
          <w:tcPr>
            <w:tcW w:w="2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Not yet in use</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6" w:type="dxa"/>
            <w:tcBorders/>
            <w:shd w:fill="CFF0FC" w:val="cle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 Years</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identifiable intangible assets</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6"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Goodwill is the excess of the consideration transferred over the net assets recognized and primarily represents future economic benefits arising from assets acquired that are not individually identified and separately recognized, including synergies and assembled workforce inherent in the acquired business. The goodwill recorded is not expected to be deductible for income tax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5. Receivables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pStyle w:val="TextBody"/>
        <w:bidi w:val="0"/>
        <w:spacing w:before="200" w:after="240"/>
        <w:jc w:val="both"/>
        <w:rPr>
          <w:color w:val="000000"/>
        </w:rPr>
      </w:pPr>
      <w:r>
        <w:rPr>
          <w:color w:val="000000"/>
        </w:rPr>
        <w: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Good Standing — The theater operator continues to be in good standing as payments and reporting are received on a regular basis.</w:t>
      </w:r>
    </w:p>
    <w:p>
      <w:pPr>
        <w:pStyle w:val="TextBody"/>
        <w:bidi w:val="0"/>
        <w:spacing w:before="200" w:after="240"/>
        <w:jc w:val="both"/>
        <w:rPr>
          <w:color w:val="000000"/>
        </w:rPr>
      </w:pPr>
      <w:r>
        <w:rPr>
          <w:color w:val="000000"/>
        </w:rPr>
        <w: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pStyle w:val="TextBody"/>
        <w:bidi w:val="0"/>
        <w:spacing w:before="200" w:after="240"/>
        <w:jc w:val="both"/>
        <w:rPr>
          <w:color w:val="000000"/>
        </w:rPr>
      </w:pPr>
      <w:r>
        <w:rPr>
          <w:color w:val="000000"/>
        </w:rPr>
        <w: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pStyle w:val="TextBody"/>
        <w:bidi w:val="0"/>
        <w:spacing w:before="200" w:after="240"/>
        <w:jc w:val="both"/>
        <w:rPr>
          <w:color w:val="000000"/>
        </w:rPr>
      </w:pPr>
      <w:r>
        <w:rPr>
          <w:color w:val="000000"/>
        </w:rPr>
        <w: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 Refer to Note 2(b), Estimates and Assumptions, for information regarding Cineworld and theater operators in Russia, Ukraine, and Belarus.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summarize the activity in the allowance for credit losses related to Accounts Receivable for the years ended December 31, 2023 and 2022:</w:t>
      </w:r>
    </w:p>
    <w:tbl>
      <w:tblPr>
        <w:tblW w:w="8102" w:type="dxa"/>
        <w:jc w:val="left"/>
        <w:tblInd w:w="0" w:type="dxa"/>
        <w:tblLayout w:type="fixed"/>
        <w:tblCellMar>
          <w:top w:w="28" w:type="dxa"/>
          <w:left w:w="28" w:type="dxa"/>
          <w:bottom w:w="28" w:type="dxa"/>
          <w:right w:w="28" w:type="dxa"/>
        </w:tblCellMar>
      </w:tblPr>
      <w:tblGrid>
        <w:gridCol w:w="3371"/>
        <w:gridCol w:w="146"/>
        <w:gridCol w:w="211"/>
        <w:gridCol w:w="676"/>
        <w:gridCol w:w="166"/>
        <w:gridCol w:w="146"/>
        <w:gridCol w:w="211"/>
        <w:gridCol w:w="571"/>
        <w:gridCol w:w="166"/>
        <w:gridCol w:w="146"/>
        <w:gridCol w:w="211"/>
        <w:gridCol w:w="571"/>
        <w:gridCol w:w="166"/>
        <w:gridCol w:w="146"/>
        <w:gridCol w:w="211"/>
        <w:gridCol w:w="676"/>
        <w:gridCol w:w="31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Theater</w:t>
              <w:br/>
              <w:t>Operators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Studios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3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period provision (reversal),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3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Theater</w:t>
              <w:br/>
              <w:t>Operators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Studios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3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period provision (reversal),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3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year ended December 31, 2023, the Company’s allowance for current expected credit losses related to Accounts Receivable increased by $1.9 million, largely the result of an increase in aged receivables. In the fourth quarter of 2023, the $1.5 million COVID-19 reserve for China was released of which $0.3 million related to Accounts Receivable and $1.2 million to Financing Receivables.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the Company’s allowance for current expected credit losses related to Accounts Receivable increased by $2.2 million principally due to reserves established against its receivables in Russia due to uncertainties associated with the ongoing Russia-Ukraine conflict and resulting sanctions, partially offset the reversal of provisions associated with the COVID-19 pandemic as the outlook for the theatrical exhibition industry in Domestic and Rest of World markets continues to improve. As of December 31, 2022, there remains a $1.5 million of COVID-19 additional reserve for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Receivables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Financing receivables are due from theater operators and consist of the Company’s net investment in sales-type leases and receivables associated with financed sales of IMAX Systems. As of December 31, 2023 and 2022, financing receivables consist of the following:</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5296"/>
        <w:gridCol w:w="146"/>
        <w:gridCol w:w="233"/>
        <w:gridCol w:w="862"/>
        <w:gridCol w:w="166"/>
        <w:gridCol w:w="146"/>
        <w:gridCol w:w="233"/>
        <w:gridCol w:w="862"/>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minimum payments due under sales-type leases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29,727</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finance income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minimum payments due under sales-type leases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29,108</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Financed sales receivables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minimum payments due under financed sales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141,337</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finance income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minimum payments due under financed sales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111,997</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financed sales receivables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receivables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both"/>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financed sales receivables due within one year</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32,366</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financed sales receivables due after one year</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financed sales receivables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and 2022, the weighted-average remaining lease term and weighted-average interest rate associated with the Company’s sales-type lease arrangements and financed sales receivables, as applicable, are as follows:</w:t>
      </w:r>
    </w:p>
    <w:p>
      <w:pPr>
        <w:pStyle w:val="TextBody"/>
        <w:bidi w:val="0"/>
        <w:jc w:val="both"/>
        <w:rPr/>
      </w:pPr>
      <w:r>
        <w:rPr/>
        <w:t> </w:t>
      </w:r>
    </w:p>
    <w:tbl>
      <w:tblPr>
        <w:tblW w:w="6891" w:type="dxa"/>
        <w:jc w:val="left"/>
        <w:tblInd w:w="0" w:type="dxa"/>
        <w:tblLayout w:type="fixed"/>
        <w:tblCellMar>
          <w:top w:w="28" w:type="dxa"/>
          <w:left w:w="28" w:type="dxa"/>
          <w:bottom w:w="28" w:type="dxa"/>
          <w:right w:w="28" w:type="dxa"/>
        </w:tblCellMar>
      </w:tblPr>
      <w:tblGrid>
        <w:gridCol w:w="4145"/>
        <w:gridCol w:w="220"/>
        <w:gridCol w:w="146"/>
        <w:gridCol w:w="155"/>
        <w:gridCol w:w="496"/>
        <w:gridCol w:w="155"/>
        <w:gridCol w:w="288"/>
        <w:gridCol w:w="146"/>
        <w:gridCol w:w="155"/>
        <w:gridCol w:w="495"/>
        <w:gridCol w:w="155"/>
        <w:gridCol w:w="335"/>
      </w:tblGrid>
      <w:tr>
        <w:trPr/>
        <w:tc>
          <w:tcPr>
            <w:tcW w:w="41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14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left"/>
              <w:rPr/>
            </w:pPr>
            <w:r>
              <w:rPr/>
              <w:t> </w:t>
            </w:r>
          </w:p>
        </w:tc>
        <w:tc>
          <w:tcPr>
            <w:tcW w:w="1140"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414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4365" w:type="dxa"/>
            <w:gridSpan w:val="2"/>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0"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Sales-Type lease arrangements</w:t>
            </w:r>
          </w:p>
        </w:tc>
        <w:tc>
          <w:tcPr>
            <w:tcW w:w="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55"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5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r>
      <w:tr>
        <w:trPr/>
        <w:tc>
          <w:tcPr>
            <w:tcW w:w="414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interest rate</w:t>
            </w:r>
          </w:p>
        </w:tc>
        <w:tc>
          <w:tcPr>
            <w:tcW w:w="2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0"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Sales-Type lease arrangements</w:t>
            </w:r>
          </w:p>
        </w:tc>
        <w:tc>
          <w:tcPr>
            <w:tcW w:w="2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55"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5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sales receivables</w:t>
            </w:r>
          </w:p>
        </w:tc>
        <w:tc>
          <w:tcPr>
            <w:tcW w:w="2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55"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55"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tables below provide information on the Company’s net investment in leases by credit quality indicator as of December 31, 2023 and 2022. The amounts disclosed for each credit quality classification are determined on a customer-by-customer basis and include both billed and unbilled amounts.</w:t>
      </w:r>
    </w:p>
    <w:tbl>
      <w:tblPr>
        <w:tblW w:w="10205" w:type="dxa"/>
        <w:jc w:val="left"/>
        <w:tblInd w:w="0" w:type="dxa"/>
        <w:tblLayout w:type="fixed"/>
        <w:tblCellMar>
          <w:top w:w="28" w:type="dxa"/>
          <w:left w:w="28" w:type="dxa"/>
          <w:bottom w:w="28" w:type="dxa"/>
          <w:right w:w="28" w:type="dxa"/>
        </w:tblCellMar>
      </w:tblPr>
      <w:tblGrid>
        <w:gridCol w:w="2332"/>
        <w:gridCol w:w="146"/>
        <w:gridCol w:w="211"/>
        <w:gridCol w:w="571"/>
        <w:gridCol w:w="146"/>
        <w:gridCol w:w="146"/>
        <w:gridCol w:w="211"/>
        <w:gridCol w:w="676"/>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676"/>
        <w:gridCol w:w="291"/>
      </w:tblGrid>
      <w:tr>
        <w:trPr/>
        <w:tc>
          <w:tcPr>
            <w:tcW w:w="2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32"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2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quality classification: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33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good 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3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Watch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3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Pre-approved 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3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Transactions suspended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32"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2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quality classification: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33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good 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3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Watch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3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Pre-approved 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3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Transactions suspended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tables below provide information on the Company’s financed sales receivables by credit quality indicator as of December 31, 2023 and 2022. The amounts disclosed for each credit quality classification are determined on a customer-by-customer basis and include both billed and unbilled amounts.</w:t>
      </w:r>
    </w:p>
    <w:tbl>
      <w:tblPr>
        <w:tblW w:w="10205" w:type="dxa"/>
        <w:jc w:val="left"/>
        <w:tblInd w:w="0" w:type="dxa"/>
        <w:tblLayout w:type="fixed"/>
        <w:tblCellMar>
          <w:top w:w="28" w:type="dxa"/>
          <w:left w:w="28" w:type="dxa"/>
          <w:bottom w:w="28" w:type="dxa"/>
          <w:right w:w="28" w:type="dxa"/>
        </w:tblCellMar>
      </w:tblPr>
      <w:tblGrid>
        <w:gridCol w:w="1807"/>
        <w:gridCol w:w="146"/>
        <w:gridCol w:w="211"/>
        <w:gridCol w:w="676"/>
        <w:gridCol w:w="146"/>
        <w:gridCol w:w="146"/>
        <w:gridCol w:w="211"/>
        <w:gridCol w:w="676"/>
        <w:gridCol w:w="146"/>
        <w:gridCol w:w="146"/>
        <w:gridCol w:w="211"/>
        <w:gridCol w:w="571"/>
        <w:gridCol w:w="146"/>
        <w:gridCol w:w="146"/>
        <w:gridCol w:w="211"/>
        <w:gridCol w:w="676"/>
        <w:gridCol w:w="146"/>
        <w:gridCol w:w="146"/>
        <w:gridCol w:w="211"/>
        <w:gridCol w:w="676"/>
        <w:gridCol w:w="146"/>
        <w:gridCol w:w="146"/>
        <w:gridCol w:w="211"/>
        <w:gridCol w:w="676"/>
        <w:gridCol w:w="146"/>
        <w:gridCol w:w="146"/>
        <w:gridCol w:w="211"/>
        <w:gridCol w:w="781"/>
        <w:gridCol w:w="291"/>
      </w:tblGrid>
      <w:tr>
        <w:trPr/>
        <w:tc>
          <w:tcPr>
            <w:tcW w:w="1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07"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6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Financed sales receivables: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quality classification: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80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good 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80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Watch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80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Pre-approved 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80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Transactions suspended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financed sales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6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Financed sales receivables: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quality classification: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80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good 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80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Watch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80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Pre-approved 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80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Transactions suspended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financed sales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balance of financed sales receivables classified within the Transactions Suspended category as of December 31, 2023 includes amounts due from exhibitors in Russia, Ukraine, and Belarus which were reclassified from other credit quality classifications in 2022 as a result of the ongoing Russia-Ukraine conflict and resulting sanctions.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provide an aging analysis for the Company’s net investment in leases and financed sales receivables as of December 31, 2023 and 2022:</w:t>
      </w:r>
    </w:p>
    <w:tbl>
      <w:tblPr>
        <w:tblW w:w="10698" w:type="dxa"/>
        <w:jc w:val="left"/>
        <w:tblInd w:w="0" w:type="dxa"/>
        <w:tblLayout w:type="fixed"/>
        <w:tblCellMar>
          <w:top w:w="28" w:type="dxa"/>
          <w:left w:w="28" w:type="dxa"/>
          <w:bottom w:w="28" w:type="dxa"/>
          <w:right w:w="28" w:type="dxa"/>
        </w:tblCellMar>
      </w:tblPr>
      <w:tblGrid>
        <w:gridCol w:w="1036"/>
        <w:gridCol w:w="146"/>
        <w:gridCol w:w="211"/>
        <w:gridCol w:w="571"/>
        <w:gridCol w:w="146"/>
        <w:gridCol w:w="146"/>
        <w:gridCol w:w="211"/>
        <w:gridCol w:w="571"/>
        <w:gridCol w:w="146"/>
        <w:gridCol w:w="146"/>
        <w:gridCol w:w="211"/>
        <w:gridCol w:w="676"/>
        <w:gridCol w:w="146"/>
        <w:gridCol w:w="146"/>
        <w:gridCol w:w="211"/>
        <w:gridCol w:w="676"/>
        <w:gridCol w:w="146"/>
        <w:gridCol w:w="146"/>
        <w:gridCol w:w="211"/>
        <w:gridCol w:w="781"/>
        <w:gridCol w:w="146"/>
        <w:gridCol w:w="146"/>
        <w:gridCol w:w="211"/>
        <w:gridCol w:w="781"/>
        <w:gridCol w:w="146"/>
        <w:gridCol w:w="146"/>
        <w:gridCol w:w="211"/>
        <w:gridCol w:w="736"/>
        <w:gridCol w:w="166"/>
        <w:gridCol w:w="146"/>
        <w:gridCol w:w="211"/>
        <w:gridCol w:w="781"/>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w:t>
              <w:br/>
              <w:t>and</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30-89</w:t>
              <w:br/>
              <w:t>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w:t>
              <w:br/>
              <w:t>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9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sales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w:t>
              <w:br/>
              <w:t>and</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30-89</w:t>
              <w:br/>
              <w:t>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w:t>
              <w:br/>
              <w:t>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9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sales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provide information about the Company’s net investment in leases and financed sales receivables with billed amounts past due for which it continues to accrue finance income as of December 31, 2023 and 2022. The amounts disclosed for each credit quality classification are determined on a customer-by-customer basis and include both billed and unbilled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10"/>
        <w:gridCol w:w="146"/>
        <w:gridCol w:w="211"/>
        <w:gridCol w:w="571"/>
        <w:gridCol w:w="146"/>
        <w:gridCol w:w="146"/>
        <w:gridCol w:w="242"/>
        <w:gridCol w:w="656"/>
        <w:gridCol w:w="146"/>
        <w:gridCol w:w="146"/>
        <w:gridCol w:w="211"/>
        <w:gridCol w:w="676"/>
        <w:gridCol w:w="146"/>
        <w:gridCol w:w="146"/>
        <w:gridCol w:w="211"/>
        <w:gridCol w:w="676"/>
        <w:gridCol w:w="146"/>
        <w:gridCol w:w="146"/>
        <w:gridCol w:w="211"/>
        <w:gridCol w:w="676"/>
        <w:gridCol w:w="146"/>
        <w:gridCol w:w="146"/>
        <w:gridCol w:w="214"/>
        <w:gridCol w:w="642"/>
        <w:gridCol w:w="166"/>
        <w:gridCol w:w="146"/>
        <w:gridCol w:w="211"/>
        <w:gridCol w:w="676"/>
        <w:gridCol w:w="193"/>
      </w:tblGrid>
      <w:tr>
        <w:trPr/>
        <w:tc>
          <w:tcPr>
            <w:tcW w:w="2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w:t>
              <w:br/>
              <w:t>and</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30-89 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27,711</w:t>
            </w:r>
          </w:p>
        </w:tc>
        <w:tc>
          <w:tcPr>
            <w:tcW w:w="193" w:type="dxa"/>
            <w:tcBorders/>
            <w:shd w:fill="CFF0FC" w:val="clear"/>
            <w:vAlign w:val="center"/>
          </w:tcPr>
          <w:p>
            <w:pPr>
              <w:pStyle w:val="TableContents"/>
              <w:bidi w:val="0"/>
              <w:spacing w:before="0" w:after="283"/>
              <w:jc w:val="left"/>
              <w:rPr/>
            </w:pPr>
            <w:r>
              <w:rPr/>
              <w:t> </w:t>
            </w:r>
          </w:p>
        </w:tc>
      </w:tr>
      <w:tr>
        <w:trPr/>
        <w:tc>
          <w:tcPr>
            <w:tcW w:w="20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sales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20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w:t>
              <w:br/>
              <w:t>and</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30-89 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19,804</w:t>
            </w:r>
          </w:p>
        </w:tc>
        <w:tc>
          <w:tcPr>
            <w:tcW w:w="193" w:type="dxa"/>
            <w:tcBorders/>
            <w:shd w:fill="CFF0FC" w:val="clear"/>
            <w:vAlign w:val="center"/>
          </w:tcPr>
          <w:p>
            <w:pPr>
              <w:pStyle w:val="TableContents"/>
              <w:bidi w:val="0"/>
              <w:spacing w:before="0" w:after="283"/>
              <w:jc w:val="left"/>
              <w:rPr/>
            </w:pPr>
            <w:r>
              <w:rPr/>
              <w:t> </w:t>
            </w:r>
          </w:p>
        </w:tc>
      </w:tr>
      <w:tr>
        <w:trPr/>
        <w:tc>
          <w:tcPr>
            <w:tcW w:w="20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sales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information about the Company’s net investment in leases and financed sales receivables that are on nonaccrual status as of December 31, 2023 and 2022:</w:t>
      </w:r>
    </w:p>
    <w:tbl>
      <w:tblPr>
        <w:tblW w:w="9648" w:type="dxa"/>
        <w:jc w:val="left"/>
        <w:tblInd w:w="0" w:type="dxa"/>
        <w:tblLayout w:type="fixed"/>
        <w:tblCellMar>
          <w:top w:w="28" w:type="dxa"/>
          <w:left w:w="28" w:type="dxa"/>
          <w:bottom w:w="28" w:type="dxa"/>
          <w:right w:w="28" w:type="dxa"/>
        </w:tblCellMar>
      </w:tblPr>
      <w:tblGrid>
        <w:gridCol w:w="2551"/>
        <w:gridCol w:w="146"/>
        <w:gridCol w:w="211"/>
        <w:gridCol w:w="676"/>
        <w:gridCol w:w="146"/>
        <w:gridCol w:w="146"/>
        <w:gridCol w:w="214"/>
        <w:gridCol w:w="642"/>
        <w:gridCol w:w="166"/>
        <w:gridCol w:w="146"/>
        <w:gridCol w:w="211"/>
        <w:gridCol w:w="676"/>
        <w:gridCol w:w="146"/>
        <w:gridCol w:w="146"/>
        <w:gridCol w:w="211"/>
        <w:gridCol w:w="676"/>
        <w:gridCol w:w="146"/>
        <w:gridCol w:w="146"/>
        <w:gridCol w:w="214"/>
        <w:gridCol w:w="642"/>
        <w:gridCol w:w="166"/>
        <w:gridCol w:w="146"/>
        <w:gridCol w:w="211"/>
        <w:gridCol w:w="67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financed sales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 recognized less than $0.1 million (2022 — $0.1 million; 2021 —$0.1 million) in Finance Income related to the net investment in leases with billed amounts past due. For the years ended December 31, 2023, 2022 and 2021, the Company did not recognize any Finance Income related to the net investment in leases in nonaccrual status. For the year ended December 31, 2023, the Company recognized $2.7 million (2022 — $3.6 million; 2021 — $3.7 million) in Finance Income related to the financed sales receivables with billed amounts past due. For the year ended December 31, 2023, the Company recognized $0.2 million (2022 — $0.5 million; 2021 — $0.2 million) in Finance Income related to the financed sales receivables in nonaccrual status.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summarize the activity in the allowance for credit losses related to the Company’s net investment in leases and financed sales receivables for years ended December 31, 2023 and 2022:</w:t>
      </w:r>
    </w:p>
    <w:tbl>
      <w:tblPr>
        <w:tblW w:w="5978" w:type="dxa"/>
        <w:jc w:val="left"/>
        <w:tblInd w:w="0" w:type="dxa"/>
        <w:tblLayout w:type="fixed"/>
        <w:tblCellMar>
          <w:top w:w="28" w:type="dxa"/>
          <w:left w:w="28" w:type="dxa"/>
          <w:bottom w:w="28" w:type="dxa"/>
          <w:right w:w="28" w:type="dxa"/>
        </w:tblCellMar>
      </w:tblPr>
      <w:tblGrid>
        <w:gridCol w:w="2576"/>
        <w:gridCol w:w="146"/>
        <w:gridCol w:w="365"/>
        <w:gridCol w:w="835"/>
        <w:gridCol w:w="210"/>
        <w:gridCol w:w="185"/>
        <w:gridCol w:w="320"/>
        <w:gridCol w:w="1030"/>
        <w:gridCol w:w="31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Financed</w:t>
            </w:r>
          </w:p>
        </w:tc>
        <w:tc>
          <w:tcPr>
            <w:tcW w:w="311" w:type="dxa"/>
            <w:tcBorders/>
            <w:shd w:fill="FFFFFF" w:val="cle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Leases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Receivables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period reversal, net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Financed</w:t>
            </w:r>
          </w:p>
        </w:tc>
        <w:tc>
          <w:tcPr>
            <w:tcW w:w="311" w:type="dxa"/>
            <w:tcBorders/>
            <w:shd w:fill="FFFFFF" w:val="cle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Leases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Receivables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period provision, net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the Company’s allowance for current expected credit losses related to its net investment in leases and financed sales receivables decreased by $1.7 million. This decrease is principally due to the release of China’s COVID-19 pandemic provision of $1.5 million, of which $1.2 million relates to its net investment in leases and financed sales receivables.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the Company’s allowance for current expected credit losses related to its net investment in leases and financed sales receivables increased by $5.5 million. This decrease is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continues to improve.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Variable Consideration Receivables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activity in the Allowance for Credit Losses related to Variable Consideration Receivables for the years ended December 31, 2023 and 2022:</w:t>
      </w:r>
    </w:p>
    <w:tbl>
      <w:tblPr>
        <w:tblW w:w="5821" w:type="dxa"/>
        <w:jc w:val="left"/>
        <w:tblInd w:w="0" w:type="dxa"/>
        <w:tblLayout w:type="fixed"/>
        <w:tblCellMar>
          <w:top w:w="28" w:type="dxa"/>
          <w:left w:w="28" w:type="dxa"/>
          <w:bottom w:w="28" w:type="dxa"/>
          <w:right w:w="28" w:type="dxa"/>
        </w:tblCellMar>
      </w:tblPr>
      <w:tblGrid>
        <w:gridCol w:w="3371"/>
        <w:gridCol w:w="146"/>
        <w:gridCol w:w="244"/>
        <w:gridCol w:w="486"/>
        <w:gridCol w:w="191"/>
        <w:gridCol w:w="168"/>
        <w:gridCol w:w="244"/>
        <w:gridCol w:w="660"/>
        <w:gridCol w:w="31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3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period provision (reversal), net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Company’s allowance for current expected credit losses related to Variable Consideration Receivables remained consistent at $0.6 million. As of December 31, 2023, there was no COVID-19 pandemic provision remaining.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2022, the Company’s allowance for current expected credit losses related to Variable Consideration Receivables decreased by $0.5 million. This decrease is principally due to the reversal of provisions associated with the COVID-19 pandemic as the outlook for the theatrical exhibition industry in Domestic and Rest of World markets continues to improve.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 Lease Arrangements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IMAX Corporation as a Lessee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the components of lease expense recorded within Selling, General and Administrative Expenses are as follows:</w:t>
      </w:r>
    </w:p>
    <w:tbl>
      <w:tblPr>
        <w:tblW w:w="6763" w:type="dxa"/>
        <w:jc w:val="left"/>
        <w:tblInd w:w="0" w:type="dxa"/>
        <w:tblLayout w:type="fixed"/>
        <w:tblCellMar>
          <w:top w:w="28" w:type="dxa"/>
          <w:left w:w="28" w:type="dxa"/>
          <w:bottom w:w="28" w:type="dxa"/>
          <w:right w:w="28" w:type="dxa"/>
        </w:tblCellMar>
      </w:tblPr>
      <w:tblGrid>
        <w:gridCol w:w="3496"/>
        <w:gridCol w:w="146"/>
        <w:gridCol w:w="211"/>
        <w:gridCol w:w="571"/>
        <w:gridCol w:w="146"/>
        <w:gridCol w:w="146"/>
        <w:gridCol w:w="211"/>
        <w:gridCol w:w="571"/>
        <w:gridCol w:w="146"/>
        <w:gridCol w:w="146"/>
        <w:gridCol w:w="211"/>
        <w:gridCol w:w="571"/>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Short-term and variable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finance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1" w:type="dxa"/>
            <w:tcBorders/>
            <w:shd w:fill="FFFFFF" w:val="clear"/>
            <w:vAlign w:val="center"/>
          </w:tcPr>
          <w:p>
            <w:pPr>
              <w:pStyle w:val="TableContents"/>
              <w:bidi w:val="0"/>
              <w:spacing w:before="0" w:after="283"/>
              <w:jc w:val="right"/>
              <w:rPr/>
            </w:pPr>
            <w:r>
              <w:rPr/>
              <w:t> </w:t>
            </w:r>
          </w:p>
        </w:tc>
      </w:tr>
      <w:tr>
        <w:trPr/>
        <w:tc>
          <w:tcPr>
            <w:tcW w:w="34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finance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supplemental cash and non-cash information related to leases is as follows:</w:t>
      </w:r>
    </w:p>
    <w:tbl>
      <w:tblPr>
        <w:tblW w:w="9498" w:type="dxa"/>
        <w:jc w:val="left"/>
        <w:tblInd w:w="0" w:type="dxa"/>
        <w:tblLayout w:type="fixed"/>
        <w:tblCellMar>
          <w:top w:w="28" w:type="dxa"/>
          <w:left w:w="28" w:type="dxa"/>
          <w:bottom w:w="28" w:type="dxa"/>
          <w:right w:w="28" w:type="dxa"/>
        </w:tblCellMar>
      </w:tblPr>
      <w:tblGrid>
        <w:gridCol w:w="6031"/>
        <w:gridCol w:w="146"/>
        <w:gridCol w:w="211"/>
        <w:gridCol w:w="571"/>
        <w:gridCol w:w="146"/>
        <w:gridCol w:w="146"/>
        <w:gridCol w:w="211"/>
        <w:gridCol w:w="571"/>
        <w:gridCol w:w="146"/>
        <w:gridCol w:w="146"/>
        <w:gridCol w:w="211"/>
        <w:gridCol w:w="571"/>
        <w:gridCol w:w="39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39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leasing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Right-of-use assets obtained in exchange for operating lease </w:t>
              <w:br/>
              <w:t>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39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Right-of-use assets obtained in exchange for finance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and 2022, supplemental balance sheet information related to leases is as follows:</w:t>
      </w:r>
    </w:p>
    <w:p>
      <w:pPr>
        <w:pStyle w:val="TextBody"/>
        <w:bidi w:val="0"/>
        <w:jc w:val="both"/>
        <w:rPr/>
      </w:pPr>
      <w:r>
        <w:rPr/>
        <w:t> </w:t>
      </w:r>
    </w:p>
    <w:tbl>
      <w:tblPr>
        <w:tblW w:w="7850" w:type="dxa"/>
        <w:jc w:val="left"/>
        <w:tblInd w:w="0" w:type="dxa"/>
        <w:tblLayout w:type="fixed"/>
        <w:tblCellMar>
          <w:top w:w="28" w:type="dxa"/>
          <w:left w:w="28" w:type="dxa"/>
          <w:bottom w:w="28" w:type="dxa"/>
          <w:right w:w="28" w:type="dxa"/>
        </w:tblCellMar>
      </w:tblPr>
      <w:tblGrid>
        <w:gridCol w:w="2881"/>
        <w:gridCol w:w="2566"/>
        <w:gridCol w:w="146"/>
        <w:gridCol w:w="211"/>
        <w:gridCol w:w="676"/>
        <w:gridCol w:w="146"/>
        <w:gridCol w:w="146"/>
        <w:gridCol w:w="211"/>
        <w:gridCol w:w="67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w:t>
            </w:r>
          </w:p>
        </w:tc>
        <w:tc>
          <w:tcPr>
            <w:tcW w:w="191" w:type="dxa"/>
            <w:tcBorders/>
            <w:shd w:fill="FFFFFF" w:val="cle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9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5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w:t>
            </w:r>
          </w:p>
        </w:tc>
        <w:tc>
          <w:tcPr>
            <w:tcW w:w="19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Finance lease liabilities</w:t>
            </w:r>
            <w:r>
              <w:rPr>
                <w:rFonts w:ascii="Times New Roman" w:hAnsi="Times New Roman"/>
                <w:color w:val="000000"/>
                <w:sz w:val="13"/>
              </w:rPr>
              <w:t>(1)</w:t>
            </w:r>
          </w:p>
        </w:tc>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91"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Recorded net of $nil (2022 — $0.9 million) upfront payment made upon execution of the finance lease arrangement.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and 2022, the weighted-average remaining lease term and weighted-average interest rate associated with the Company’s leases are as follows:</w:t>
      </w:r>
    </w:p>
    <w:tbl>
      <w:tblPr>
        <w:tblW w:w="6434" w:type="dxa"/>
        <w:jc w:val="left"/>
        <w:tblInd w:w="0" w:type="dxa"/>
        <w:tblLayout w:type="fixed"/>
        <w:tblCellMar>
          <w:top w:w="28" w:type="dxa"/>
          <w:left w:w="28" w:type="dxa"/>
          <w:bottom w:w="28" w:type="dxa"/>
          <w:right w:w="28" w:type="dxa"/>
        </w:tblCellMar>
      </w:tblPr>
      <w:tblGrid>
        <w:gridCol w:w="3959"/>
        <w:gridCol w:w="196"/>
        <w:gridCol w:w="146"/>
        <w:gridCol w:w="146"/>
        <w:gridCol w:w="466"/>
        <w:gridCol w:w="146"/>
        <w:gridCol w:w="286"/>
        <w:gridCol w:w="146"/>
        <w:gridCol w:w="466"/>
        <w:gridCol w:w="146"/>
        <w:gridCol w:w="331"/>
      </w:tblGrid>
      <w:tr>
        <w:trPr/>
        <w:tc>
          <w:tcPr>
            <w:tcW w:w="3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5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395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155"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4155" w:type="dxa"/>
            <w:gridSpan w:val="2"/>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remaining lease term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395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discount rate</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155" w:type="dxa"/>
            <w:gridSpan w:val="2"/>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395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discount rate</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of December 31, 2023, the maturities of the Company’s operating and finance lease liabilities are as follows: </w:t>
      </w:r>
    </w:p>
    <w:tbl>
      <w:tblPr>
        <w:tblW w:w="5759" w:type="dxa"/>
        <w:jc w:val="left"/>
        <w:tblInd w:w="0" w:type="dxa"/>
        <w:tblLayout w:type="fixed"/>
        <w:tblCellMar>
          <w:top w:w="28" w:type="dxa"/>
          <w:left w:w="28" w:type="dxa"/>
          <w:bottom w:w="28" w:type="dxa"/>
          <w:right w:w="28" w:type="dxa"/>
        </w:tblCellMar>
      </w:tblPr>
      <w:tblGrid>
        <w:gridCol w:w="2686"/>
        <w:gridCol w:w="146"/>
        <w:gridCol w:w="324"/>
        <w:gridCol w:w="1041"/>
        <w:gridCol w:w="166"/>
        <w:gridCol w:w="394"/>
        <w:gridCol w:w="79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6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6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w:t>
            </w:r>
          </w:p>
        </w:tc>
        <w:tc>
          <w:tcPr>
            <w:tcW w:w="16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expense</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(b)</w:t>
      </w:r>
    </w:p>
    <w:p>
      <w:pPr>
        <w:pStyle w:val="TextBody"/>
        <w:bidi w:val="0"/>
        <w:jc w:val="both"/>
        <w:rPr>
          <w:rFonts w:ascii="Times New Roman" w:hAnsi="Times New Roman"/>
          <w:b/>
          <w:i/>
          <w:color w:val="000000"/>
          <w:sz w:val="20"/>
        </w:rPr>
      </w:pPr>
      <w:r>
        <w:rPr>
          <w:rFonts w:ascii="Times New Roman" w:hAnsi="Times New Roman"/>
          <w:b/>
          <w:i/>
          <w:color w:val="000000"/>
          <w:sz w:val="20"/>
        </w:rPr>
        <w:t>IMAX Corporation as a Lessor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2(o).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lease payments are expected to be received by the Company for its sales-type leases and joint revenue sharing arrangements in each of the next five years and thereafter following the December 31, 2023 balance sheet date:</w:t>
      </w:r>
    </w:p>
    <w:tbl>
      <w:tblPr>
        <w:tblW w:w="5535" w:type="dxa"/>
        <w:jc w:val="left"/>
        <w:tblInd w:w="0" w:type="dxa"/>
        <w:tblLayout w:type="fixed"/>
        <w:tblCellMar>
          <w:top w:w="28" w:type="dxa"/>
          <w:left w:w="28" w:type="dxa"/>
          <w:bottom w:w="28" w:type="dxa"/>
          <w:right w:w="28" w:type="dxa"/>
        </w:tblCellMar>
      </w:tblPr>
      <w:tblGrid>
        <w:gridCol w:w="2221"/>
        <w:gridCol w:w="146"/>
        <w:gridCol w:w="221"/>
        <w:gridCol w:w="709"/>
        <w:gridCol w:w="146"/>
        <w:gridCol w:w="146"/>
        <w:gridCol w:w="664"/>
        <w:gridCol w:w="109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Sales-Type </w:t>
              <w:b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Joint Revenue </w:t>
              <w:br/>
              <w:t>Sharing Arrangements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(Refer to Note 6 for additional information related to the net investment in leases related to the Company’s sales-type lease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 Variable Consideration from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arrangement for the sale of an IMAX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IMAX System, which are developed using historical data for the location and, if necessary, comparable theaters and territories. (Refer to Note 2(o) for a more detailed discussion of the Company’s accounting policy related to variable consideration.)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activity related to variable consideration from contracts with customers for the years ended December 31, 2023, 2022, and 2021:</w:t>
      </w:r>
    </w:p>
    <w:tbl>
      <w:tblPr>
        <w:tblW w:w="6300" w:type="dxa"/>
        <w:jc w:val="left"/>
        <w:tblInd w:w="0" w:type="dxa"/>
        <w:tblLayout w:type="fixed"/>
        <w:tblCellMar>
          <w:top w:w="28" w:type="dxa"/>
          <w:left w:w="28" w:type="dxa"/>
          <w:bottom w:w="28" w:type="dxa"/>
          <w:right w:w="28" w:type="dxa"/>
        </w:tblCellMar>
      </w:tblPr>
      <w:tblGrid>
        <w:gridCol w:w="4996"/>
        <w:gridCol w:w="146"/>
        <w:gridCol w:w="211"/>
        <w:gridCol w:w="736"/>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40,526</w:t>
            </w:r>
          </w:p>
        </w:tc>
        <w:tc>
          <w:tcPr>
            <w:tcW w:w="211" w:type="dxa"/>
            <w:tcBorders/>
            <w:shd w:fill="FFFFFF" w:val="cle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consideration for newly recognized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211" w:type="dxa"/>
            <w:tcBorders/>
            <w:shd w:fill="CFF0FC"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to finance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211" w:type="dxa"/>
            <w:tcBorders/>
            <w:shd w:fill="FFFFFF" w:val="cle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to receivables from variable consideration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in allowance for credit losses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44,218</w:t>
            </w:r>
          </w:p>
        </w:tc>
        <w:tc>
          <w:tcPr>
            <w:tcW w:w="211" w:type="dxa"/>
            <w:tcBorders/>
            <w:shd w:fill="CFF0FC"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consideration for newly recognized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211" w:type="dxa"/>
            <w:tcBorders/>
            <w:shd w:fill="FFFFFF" w:val="cle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to finance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211" w:type="dxa"/>
            <w:tcBorders/>
            <w:shd w:fill="CFF0FC"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to receivables from variable consideration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in allowance for credit losses (see Note 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44,024</w:t>
            </w:r>
          </w:p>
        </w:tc>
        <w:tc>
          <w:tcPr>
            <w:tcW w:w="211" w:type="dxa"/>
            <w:tcBorders/>
            <w:shd w:fill="FFFFFF" w:val="cle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consideration for newly recognized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28,580</w:t>
            </w:r>
          </w:p>
        </w:tc>
        <w:tc>
          <w:tcPr>
            <w:tcW w:w="211" w:type="dxa"/>
            <w:tcBorders/>
            <w:shd w:fill="CFF0FC"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to finance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211" w:type="dxa"/>
            <w:tcBorders/>
            <w:shd w:fill="FFFFFF" w:val="cle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to receivables from variable consideration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in allowance for credit losses (see Note 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Inventories</w:t>
      </w:r>
    </w:p>
    <w:p>
      <w:pPr>
        <w:pStyle w:val="TextBody"/>
        <w:bidi w:val="0"/>
        <w:jc w:val="both"/>
        <w:rPr/>
      </w:pPr>
      <w:r>
        <w:rPr/>
        <w:t> </w:t>
      </w:r>
    </w:p>
    <w:tbl>
      <w:tblPr>
        <w:tblW w:w="4624" w:type="dxa"/>
        <w:jc w:val="left"/>
        <w:tblInd w:w="0" w:type="dxa"/>
        <w:tblLayout w:type="fixed"/>
        <w:tblCellMar>
          <w:top w:w="28" w:type="dxa"/>
          <w:left w:w="28" w:type="dxa"/>
          <w:bottom w:w="28" w:type="dxa"/>
          <w:right w:w="28" w:type="dxa"/>
        </w:tblCellMar>
      </w:tblPr>
      <w:tblGrid>
        <w:gridCol w:w="2221"/>
        <w:gridCol w:w="146"/>
        <w:gridCol w:w="211"/>
        <w:gridCol w:w="676"/>
        <w:gridCol w:w="146"/>
        <w:gridCol w:w="146"/>
        <w:gridCol w:w="211"/>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25,365</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Inventories include finished goods of $0.6 million (December 31, 2022 — $3.5 million) for which title had passed to the customer, but the criteria for revenue recognition were not met as of the balance sheet date.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activity for the Company’s inventory valuation allowance account for the years ended December 31, 2023, 2022 and 2021:</w:t>
      </w:r>
    </w:p>
    <w:tbl>
      <w:tblPr>
        <w:tblW w:w="8444" w:type="dxa"/>
        <w:jc w:val="left"/>
        <w:tblInd w:w="0" w:type="dxa"/>
        <w:tblLayout w:type="fixed"/>
        <w:tblCellMar>
          <w:top w:w="28" w:type="dxa"/>
          <w:left w:w="28" w:type="dxa"/>
          <w:bottom w:w="28" w:type="dxa"/>
          <w:right w:w="28" w:type="dxa"/>
        </w:tblCellMar>
      </w:tblPr>
      <w:tblGrid>
        <w:gridCol w:w="2856"/>
        <w:gridCol w:w="146"/>
        <w:gridCol w:w="234"/>
        <w:gridCol w:w="636"/>
        <w:gridCol w:w="146"/>
        <w:gridCol w:w="146"/>
        <w:gridCol w:w="294"/>
        <w:gridCol w:w="591"/>
        <w:gridCol w:w="146"/>
        <w:gridCol w:w="146"/>
        <w:gridCol w:w="367"/>
        <w:gridCol w:w="1103"/>
        <w:gridCol w:w="166"/>
        <w:gridCol w:w="146"/>
        <w:gridCol w:w="251"/>
        <w:gridCol w:w="679"/>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Additions</w:t>
              <w:br/>
              <w:t>charged to</w:t>
              <w:br/>
              <w:t>expenses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 deductions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year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righ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8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6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67"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391" w:type="dxa"/>
            <w:tcBorders/>
            <w:shd w:fill="CFF0FC"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Excludes an expense of $0.5 million charged directly to the Consolidated Statements of Operations during the year ended December 31, 2023 (2022 — recovery of $0.2 million; 2021 — expense of $0.3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the write-off of amounts previously charged to valuation allowance.</w:t>
      </w:r>
    </w:p>
    <w:p>
      <w:pPr>
        <w:pStyle w:val="TextBody"/>
        <w:bidi w:val="0"/>
        <w:spacing w:before="200" w:after="283"/>
        <w:jc w:val="both"/>
        <w:rPr>
          <w:rFonts w:ascii="Times New Roman" w:hAnsi="Times New Roman"/>
          <w:sz w:val="20"/>
        </w:rPr>
      </w:pPr>
      <w:r>
        <w:rPr>
          <w:rFonts w:ascii="Times New Roman" w:hAnsi="Times New Roman"/>
          <w:b/>
          <w:color w:val="000000"/>
          <w:sz w:val="20"/>
        </w:rPr>
        <w:t>9. Film Assets</w:t>
      </w:r>
      <w:r>
        <w:rPr>
          <w:rFonts w:ascii="Times New Roman" w:hAnsi="Times New Roman"/>
          <w:color w:val="000000"/>
          <w:sz w:val="20"/>
        </w:rPr>
        <w:t xml:space="preserve"> </w:t>
      </w:r>
    </w:p>
    <w:p>
      <w:pPr>
        <w:pStyle w:val="TextBody"/>
        <w:bidi w:val="0"/>
        <w:jc w:val="both"/>
        <w:rPr/>
      </w:pPr>
      <w:r>
        <w:rPr/>
        <w:t> </w:t>
      </w:r>
    </w:p>
    <w:tbl>
      <w:tblPr>
        <w:tblW w:w="7839" w:type="dxa"/>
        <w:jc w:val="left"/>
        <w:tblInd w:w="0" w:type="dxa"/>
        <w:tblLayout w:type="fixed"/>
        <w:tblCellMar>
          <w:top w:w="28" w:type="dxa"/>
          <w:left w:w="28" w:type="dxa"/>
          <w:bottom w:w="28" w:type="dxa"/>
          <w:right w:w="28" w:type="dxa"/>
        </w:tblCellMar>
      </w:tblPr>
      <w:tblGrid>
        <w:gridCol w:w="5446"/>
        <w:gridCol w:w="146"/>
        <w:gridCol w:w="211"/>
        <w:gridCol w:w="571"/>
        <w:gridCol w:w="146"/>
        <w:gridCol w:w="146"/>
        <w:gridCol w:w="211"/>
        <w:gridCol w:w="571"/>
        <w:gridCol w:w="3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and released films, net of accumulated amortization of</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4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$236,275 (2022 ― $235,029)</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Films in production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391" w:type="dxa"/>
            <w:tcBorders/>
            <w:shd w:fill="CFF0FC" w:val="clear"/>
            <w:vAlign w:val="center"/>
          </w:tcPr>
          <w:p>
            <w:pPr>
              <w:pStyle w:val="TableContents"/>
              <w:bidi w:val="0"/>
              <w:spacing w:before="0" w:after="283"/>
              <w:jc w:val="lef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Films in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expects to amortize $5.0 million of the Film Assets balance within three years from December 31, 2023, including $3.2 million expected to be amortized in 2024, $0.9 million in 2025, and $0.9 million in 2026. In certain film arrangements, the Company co-produces a film with a third party whereby the third party retaining certain rights to the film. The amount of participation payments owed to third parties related to co-produced films as of December 31, 2023 is $3.8 million (December 31, 2022 — $3.8 million) and is recorded on the Consolidated Balance Sheets within Accrued and Other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2023, the Company recorded impairment losses of $0.4 million related to the write-down of film assets (2022 — $0.8 million; 2021 — $0.2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color w:val="000000"/>
          <w:sz w:val="20"/>
        </w:rPr>
        <w:t>10. Property, Plant and Equipment</w:t>
      </w:r>
      <w:r>
        <w:rPr>
          <w:rFonts w:ascii="Times New Roman" w:hAnsi="Times New Roman"/>
          <w:color w:val="000000"/>
          <w:sz w:val="20"/>
        </w:rPr>
        <w:t xml:space="preserve"> </w:t>
      </w:r>
    </w:p>
    <w:tbl>
      <w:tblPr>
        <w:tblW w:w="7746" w:type="dxa"/>
        <w:jc w:val="left"/>
        <w:tblInd w:w="0" w:type="dxa"/>
        <w:tblLayout w:type="fixed"/>
        <w:tblCellMar>
          <w:top w:w="28" w:type="dxa"/>
          <w:left w:w="28" w:type="dxa"/>
          <w:bottom w:w="28" w:type="dxa"/>
          <w:right w:w="28" w:type="dxa"/>
        </w:tblCellMar>
      </w:tblPr>
      <w:tblGrid>
        <w:gridCol w:w="3176"/>
        <w:gridCol w:w="246"/>
        <w:gridCol w:w="246"/>
        <w:gridCol w:w="146"/>
        <w:gridCol w:w="781"/>
        <w:gridCol w:w="146"/>
        <w:gridCol w:w="146"/>
        <w:gridCol w:w="211"/>
        <w:gridCol w:w="146"/>
        <w:gridCol w:w="781"/>
        <w:gridCol w:w="146"/>
        <w:gridCol w:w="146"/>
        <w:gridCol w:w="211"/>
        <w:gridCol w:w="146"/>
        <w:gridCol w:w="781"/>
        <w:gridCol w:w="291"/>
      </w:tblGrid>
      <w:tr>
        <w:trPr/>
        <w:tc>
          <w:tcPr>
            <w:tcW w:w="3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291" w:type="dxa"/>
            <w:tcBorders/>
            <w:shd w:fill="FFFFFF" w:val="cle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or held for use: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IMAX System components</w:t>
            </w:r>
            <w:r>
              <w:rPr>
                <w:rFonts w:ascii="Times New Roman" w:hAnsi="Times New Roman"/>
                <w:color w:val="000000"/>
                <w:sz w:val="13"/>
              </w:rPr>
              <w:t>(1)(2)(3)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Camera and connectivity equipment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Assets under construction</w:t>
            </w:r>
            <w:r>
              <w:rPr>
                <w:rFonts w:ascii="Times New Roman" w:hAnsi="Times New Roman"/>
                <w:color w:val="000000"/>
                <w:sz w:val="13"/>
              </w:rPr>
              <w:t>(4)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291" w:type="dxa"/>
            <w:tcBorders/>
            <w:shd w:fill="CFF0FC" w:val="cle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w:t>
            </w:r>
            <w:r>
              <w:rPr>
                <w:rFonts w:ascii="Times New Roman" w:hAnsi="Times New Roman"/>
                <w:color w:val="000000"/>
                <w:sz w:val="13"/>
              </w:rPr>
              <w:t>(5)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w:t>
            </w:r>
          </w:p>
        </w:tc>
        <w:tc>
          <w:tcPr>
            <w:tcW w:w="291" w:type="dxa"/>
            <w:tcBorders/>
            <w:shd w:fill="FFFFFF" w:val="cle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plant and equipment: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Land</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Buildings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Office and production equipment</w:t>
            </w:r>
            <w:r>
              <w:rPr>
                <w:rFonts w:ascii="Times New Roman" w:hAnsi="Times New Roman"/>
                <w:color w:val="000000"/>
                <w:sz w:val="13"/>
              </w:rPr>
              <w:t>(6)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291" w:type="dxa"/>
            <w:tcBorders/>
            <w:shd w:fill="FFFFFF" w:val="cle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or held for use: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IMAX System components</w:t>
            </w:r>
            <w:r>
              <w:rPr>
                <w:rFonts w:ascii="Times New Roman" w:hAnsi="Times New Roman"/>
                <w:color w:val="000000"/>
                <w:sz w:val="13"/>
              </w:rPr>
              <w:t>(1)(2)(3)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Camera and connectivity equipment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Assets under construction</w:t>
            </w:r>
            <w:r>
              <w:rPr>
                <w:rFonts w:ascii="Times New Roman" w:hAnsi="Times New Roman"/>
                <w:color w:val="000000"/>
                <w:sz w:val="13"/>
              </w:rPr>
              <w:t>(4)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14,379</w:t>
            </w:r>
          </w:p>
        </w:tc>
        <w:tc>
          <w:tcPr>
            <w:tcW w:w="291" w:type="dxa"/>
            <w:tcBorders/>
            <w:shd w:fill="CFF0FC" w:val="cle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w:t>
            </w:r>
            <w:r>
              <w:rPr>
                <w:rFonts w:ascii="Times New Roman" w:hAnsi="Times New Roman"/>
                <w:color w:val="000000"/>
                <w:sz w:val="13"/>
              </w:rPr>
              <w:t>(5)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14,217</w:t>
            </w:r>
          </w:p>
        </w:tc>
        <w:tc>
          <w:tcPr>
            <w:tcW w:w="291" w:type="dxa"/>
            <w:tcBorders/>
            <w:shd w:fill="FFFFFF" w:val="cle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plant and equipment: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Land</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Buildings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Office and production equipment</w:t>
            </w:r>
            <w:r>
              <w:rPr>
                <w:rFonts w:ascii="Times New Roman" w:hAnsi="Times New Roman"/>
                <w:color w:val="000000"/>
                <w:sz w:val="13"/>
              </w:rPr>
              <w:t>(6)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system components are assets with costs of $1.4 million (2022 — $1.6 million) and accumulated depreciation of $1.2 million (2022 — $1.2 million) that are leased to customers under operating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system components are assets with costs of $317.8 million (2022 — $323.7 million) and accumulated depreciation of $181.2 million (2022 — $177.9 million) that are used in joint revenue sharing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recorded charges of $0.8 million (2022 — $1.0 million; 2021 — $0.4 million) in Costs and Expenses Applicable to Technology Rentals mostly related to the write-down of leased xenon-based digital systems which were taken out of service in connection with customer upgrades to laser-based digital systems, as well as two IMAX Systems that was removed from their existing locations.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assets under construction are components with costs of $16.4 million (2022 — $9.1 million) that will be utilized to construct assets to be used in joint revenue sharing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right-of-use assets primarily include operating leases for office and warehouse space.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Fully depreciated office and production equipment is still in use by the Company. In 2023, the Company identified and wrote off $2.4 million (2022 — $3.5 million) of office and production equipment that is fully depreciated and no longer in use.</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 Other Assets</w:t>
      </w:r>
    </w:p>
    <w:p>
      <w:pPr>
        <w:pStyle w:val="TextBody"/>
        <w:bidi w:val="0"/>
        <w:jc w:val="both"/>
        <w:rPr/>
      </w:pPr>
      <w:r>
        <w:rPr/>
        <w:t> </w:t>
      </w:r>
    </w:p>
    <w:tbl>
      <w:tblPr>
        <w:tblW w:w="9521" w:type="dxa"/>
        <w:jc w:val="left"/>
        <w:tblInd w:w="0" w:type="dxa"/>
        <w:tblLayout w:type="fixed"/>
        <w:tblCellMar>
          <w:top w:w="28" w:type="dxa"/>
          <w:left w:w="28" w:type="dxa"/>
          <w:bottom w:w="28" w:type="dxa"/>
          <w:right w:w="28" w:type="dxa"/>
        </w:tblCellMar>
      </w:tblPr>
      <w:tblGrid>
        <w:gridCol w:w="6826"/>
        <w:gridCol w:w="146"/>
        <w:gridCol w:w="211"/>
        <w:gridCol w:w="146"/>
        <w:gridCol w:w="676"/>
        <w:gridCol w:w="146"/>
        <w:gridCol w:w="146"/>
        <w:gridCol w:w="211"/>
        <w:gridCol w:w="146"/>
        <w:gridCol w:w="676"/>
        <w:gridCol w:w="191"/>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incentives provided to exhibitor customers, net of accumulated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w:t>
            </w:r>
          </w:p>
        </w:tc>
        <w:tc>
          <w:tcPr>
            <w:tcW w:w="191" w:type="dxa"/>
            <w:tcBorders/>
            <w:shd w:fill="CFF0FC" w:val="cle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and other deferred selling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shd w:fill="FFFFFF" w:val="clear"/>
            <w:vAlign w:val="center"/>
          </w:tcPr>
          <w:p>
            <w:pPr>
              <w:pStyle w:val="TableContents"/>
              <w:bidi w:val="0"/>
              <w:spacing w:before="0" w:after="283"/>
              <w:jc w:val="left"/>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CFF0FC" w:val="cle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FFFFFF" w:val="clear"/>
            <w:vAlign w:val="center"/>
          </w:tcPr>
          <w:p>
            <w:pPr>
              <w:pStyle w:val="TableContents"/>
              <w:bidi w:val="0"/>
              <w:spacing w:before="0" w:after="283"/>
              <w:jc w:val="left"/>
              <w:rPr/>
            </w:pPr>
            <w:r>
              <w:rPr/>
              <w:t> </w:t>
            </w:r>
          </w:p>
        </w:tc>
      </w:tr>
      <w:tr>
        <w:trPr/>
        <w:tc>
          <w:tcPr>
            <w:tcW w:w="6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 xml:space="preserve">Income (loss) Before Taxes by Jurisdiction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(loss) before taxes by tax jurisdiction for the years ended December 31, 2023, 2022, and 2021 consists of the following:</w:t>
      </w:r>
    </w:p>
    <w:p>
      <w:pPr>
        <w:pStyle w:val="TextBody"/>
        <w:bidi w:val="0"/>
        <w:jc w:val="both"/>
        <w:rPr/>
      </w:pPr>
      <w:r>
        <w:rPr/>
        <w:t> </w:t>
      </w:r>
    </w:p>
    <w:tbl>
      <w:tblPr>
        <w:tblW w:w="6481" w:type="dxa"/>
        <w:jc w:val="left"/>
        <w:tblInd w:w="0" w:type="dxa"/>
        <w:tblLayout w:type="fixed"/>
        <w:tblCellMar>
          <w:top w:w="28" w:type="dxa"/>
          <w:left w:w="28" w:type="dxa"/>
          <w:bottom w:w="28" w:type="dxa"/>
          <w:right w:w="28" w:type="dxa"/>
        </w:tblCellMar>
      </w:tblPr>
      <w:tblGrid>
        <w:gridCol w:w="2221"/>
        <w:gridCol w:w="146"/>
        <w:gridCol w:w="211"/>
        <w:gridCol w:w="146"/>
        <w:gridCol w:w="736"/>
        <w:gridCol w:w="166"/>
        <w:gridCol w:w="146"/>
        <w:gridCol w:w="211"/>
        <w:gridCol w:w="146"/>
        <w:gridCol w:w="736"/>
        <w:gridCol w:w="166"/>
        <w:gridCol w:w="146"/>
        <w:gridCol w:w="211"/>
        <w:gridCol w:w="146"/>
        <w:gridCol w:w="736"/>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53,792</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expense for the years ended December 31, 2023, 2022, and 2021 consists of the following:</w:t>
      </w:r>
    </w:p>
    <w:p>
      <w:pPr>
        <w:pStyle w:val="TextBody"/>
        <w:bidi w:val="0"/>
        <w:jc w:val="both"/>
        <w:rPr/>
      </w:pPr>
      <w:r>
        <w:rPr/>
        <w:t> </w:t>
      </w:r>
    </w:p>
    <w:tbl>
      <w:tblPr>
        <w:tblW w:w="8041" w:type="dxa"/>
        <w:jc w:val="left"/>
        <w:tblInd w:w="0" w:type="dxa"/>
        <w:tblLayout w:type="fixed"/>
        <w:tblCellMar>
          <w:top w:w="28" w:type="dxa"/>
          <w:left w:w="28" w:type="dxa"/>
          <w:bottom w:w="28" w:type="dxa"/>
          <w:right w:w="28" w:type="dxa"/>
        </w:tblCellMar>
      </w:tblPr>
      <w:tblGrid>
        <w:gridCol w:w="3481"/>
        <w:gridCol w:w="246"/>
        <w:gridCol w:w="211"/>
        <w:gridCol w:w="146"/>
        <w:gridCol w:w="736"/>
        <w:gridCol w:w="166"/>
        <w:gridCol w:w="146"/>
        <w:gridCol w:w="211"/>
        <w:gridCol w:w="146"/>
        <w:gridCol w:w="736"/>
        <w:gridCol w:w="166"/>
        <w:gridCol w:w="146"/>
        <w:gridCol w:w="211"/>
        <w:gridCol w:w="146"/>
        <w:gridCol w:w="736"/>
        <w:gridCol w:w="411"/>
      </w:tblGrid>
      <w:tr>
        <w:trPr/>
        <w:tc>
          <w:tcPr>
            <w:tcW w:w="34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90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 current: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100"/>
              <w:jc w:val="right"/>
              <w:rPr/>
            </w:pPr>
            <w:r>
              <w:rPr/>
              <w:t> </w:t>
            </w:r>
          </w:p>
        </w:tc>
      </w:tr>
      <w:tr>
        <w:trPr/>
        <w:tc>
          <w:tcPr>
            <w:tcW w:w="34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Canada</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4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China</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Ireland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4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benefit – deferred:</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100"/>
              <w:jc w:val="right"/>
              <w:rPr/>
            </w:pPr>
            <w:r>
              <w:rPr/>
              <w:t> </w:t>
            </w:r>
          </w:p>
        </w:tc>
      </w:tr>
      <w:tr>
        <w:trPr/>
        <w:tc>
          <w:tcPr>
            <w:tcW w:w="34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Canada</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China</w:t>
            </w:r>
            <w:r>
              <w:rPr>
                <w:rFonts w:ascii="Times New Roman" w:hAnsi="Times New Roman"/>
                <w:color w:val="000000"/>
                <w:sz w:val="13"/>
              </w:rPr>
              <w:t>(2)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Ireland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(3)</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valuation allowance is recorded in jurisdictions where management has determined, based on the weight of all available evidence, both positive and negative, that a valuation allowance for deferred tax assets is required. For the year ended December 31, 2023, the Company recorded a $0.7 million net decrease (2022 — net increase of $16.8 million) in the valuation allowance against its deferred tax assets in Canada. The $0.7 million net decrease in the valuation allowance recorded in 2023 is reflected within Income Tax Expense in the Company’s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deferred tax liability of $14.9 million as of December 31, 2022 relates to the estimated applicable foreign withholding taxes associated with historical earnings that were not indefinitely reinvested which will become payable upon the repatriation of any such earnings. During the year ended December 31, 2023, $24.0 million (2022 — $27.4 million) of historical earnings from a subsidiary in China were distributed and as a result, $2.4 million (2022 — $2.7 million) of foreign withholding taxes were paid to the relevant tax authorities. The remaining deferred tax liability on the Company’s Consolidated Balance Sheets as of December 31, 2023 is $12.5 million (2022 — $14.9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Income Tax Expense excludes a tax expense of $0.2 million included in Other Comprehensive (Loss) Income (2022 — expense of $0.8 million; 2021 — benefit of $0.3 million).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 xml:space="preserve">Reconciliation of Income Tax Expense to Statutory Rates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the Company’s effective tax rate and income tax expense differs from the combined Canadian federal and provincial statutory income tax rates due to the following factors:</w:t>
      </w:r>
    </w:p>
    <w:tbl>
      <w:tblPr>
        <w:tblW w:w="10205" w:type="dxa"/>
        <w:jc w:val="left"/>
        <w:tblInd w:w="0" w:type="dxa"/>
        <w:tblLayout w:type="fixed"/>
        <w:tblCellMar>
          <w:top w:w="28" w:type="dxa"/>
          <w:left w:w="28" w:type="dxa"/>
          <w:bottom w:w="28" w:type="dxa"/>
          <w:right w:w="28" w:type="dxa"/>
        </w:tblCellMar>
      </w:tblPr>
      <w:tblGrid>
        <w:gridCol w:w="3961"/>
        <w:gridCol w:w="146"/>
        <w:gridCol w:w="211"/>
        <w:gridCol w:w="736"/>
        <w:gridCol w:w="166"/>
        <w:gridCol w:w="146"/>
        <w:gridCol w:w="532"/>
        <w:gridCol w:w="146"/>
        <w:gridCol w:w="211"/>
        <w:gridCol w:w="736"/>
        <w:gridCol w:w="166"/>
        <w:gridCol w:w="146"/>
        <w:gridCol w:w="714"/>
        <w:gridCol w:w="146"/>
        <w:gridCol w:w="211"/>
        <w:gridCol w:w="736"/>
        <w:gridCol w:w="166"/>
        <w:gridCol w:w="146"/>
        <w:gridCol w:w="783"/>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9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396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 except rates)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combined statutory rates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resulting from:</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3" w:type="dxa"/>
            <w:tcBorders/>
            <w:shd w:fill="FFFFFF" w:val="clear"/>
            <w:vAlign w:val="center"/>
          </w:tcPr>
          <w:p>
            <w:pPr>
              <w:pStyle w:val="TableContents"/>
              <w:bidi w:val="0"/>
              <w:spacing w:before="0" w:after="283"/>
              <w:ind w:left="0" w:right="0" w:firstLine="100"/>
              <w:jc w:val="right"/>
              <w:rPr/>
            </w:pPr>
            <w:r>
              <w:rPr/>
              <w:t> </w:t>
            </w:r>
          </w:p>
        </w:tc>
      </w:tr>
      <w:tr>
        <w:trPr/>
        <w:tc>
          <w:tcPr>
            <w:tcW w:w="39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Decrease (increase) in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83" w:type="dxa"/>
            <w:tcBorders/>
            <w:shd w:fill="CFF0FC"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134.0%</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to tax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3" w:type="dxa"/>
            <w:tcBorders/>
            <w:shd w:fill="FFFFFF"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(31.9%)</w:t>
            </w:r>
          </w:p>
        </w:tc>
      </w:tr>
      <w:tr>
        <w:trPr/>
        <w:tc>
          <w:tcPr>
            <w:tcW w:w="39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federal and state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83" w:type="dxa"/>
            <w:tcBorders/>
            <w:shd w:fill="CFF0FC"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0.7%</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Withholding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3" w:type="dxa"/>
            <w:tcBorders/>
            <w:shd w:fill="FFFFFF"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38.2%</w:t>
            </w:r>
          </w:p>
        </w:tc>
      </w:tr>
      <w:tr>
        <w:trPr/>
        <w:tc>
          <w:tcPr>
            <w:tcW w:w="39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at different rates in foreign and other provincial jurisdictions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83" w:type="dxa"/>
            <w:tcBorders/>
            <w:shd w:fill="CFF0FC"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(30.5%)</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 and other tax credits (non-refundable)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3" w:type="dxa"/>
            <w:tcBorders/>
            <w:shd w:fill="FFFFFF"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(3.8%)</w:t>
            </w:r>
          </w:p>
        </w:tc>
      </w:tr>
      <w:tr>
        <w:trPr/>
        <w:tc>
          <w:tcPr>
            <w:tcW w:w="39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to deferred tax assets and liabilities resulting from audit and other tax return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83" w:type="dxa"/>
            <w:tcBorders/>
            <w:shd w:fill="CFF0FC" w:val="cle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48.6%</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items included in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r>
    </w:tbl>
    <w:p>
      <w:pPr>
        <w:pStyle w:val="TextBody"/>
        <w:bidi w:val="0"/>
        <w:jc w:val="both"/>
        <w:rPr/>
      </w:pPr>
      <w:r>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w:t>
      </w:r>
    </w:p>
    <w:p>
      <w:pPr>
        <w:pStyle w:val="TextBody"/>
        <w:bidi w:val="0"/>
        <w:jc w:val="left"/>
        <w:rPr>
          <w:rFonts w:ascii="Times New Roman" w:hAnsi="Times New Roman"/>
          <w:b/>
          <w:i/>
          <w:color w:val="000000"/>
          <w:sz w:val="20"/>
        </w:rPr>
      </w:pPr>
      <w:r>
        <w:rPr>
          <w:rFonts w:ascii="Times New Roman" w:hAnsi="Times New Roman"/>
          <w:b/>
          <w:i/>
          <w:color w:val="000000"/>
          <w:sz w:val="20"/>
        </w:rPr>
        <w:t>Deferred Tax Assets and Deferred Tax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and 2022, the Company’s deferred tax assets and deferred tax liability consists of the following: </w:t>
      </w:r>
    </w:p>
    <w:p>
      <w:pPr>
        <w:pStyle w:val="TextBody"/>
        <w:bidi w:val="0"/>
        <w:jc w:val="both"/>
        <w:rPr/>
      </w:pPr>
      <w:r>
        <w:rPr/>
        <w:t> </w:t>
      </w:r>
    </w:p>
    <w:tbl>
      <w:tblPr>
        <w:tblW w:w="7446" w:type="dxa"/>
        <w:jc w:val="left"/>
        <w:tblInd w:w="0" w:type="dxa"/>
        <w:tblLayout w:type="fixed"/>
        <w:tblCellMar>
          <w:top w:w="28" w:type="dxa"/>
          <w:left w:w="28" w:type="dxa"/>
          <w:bottom w:w="28" w:type="dxa"/>
          <w:right w:w="28" w:type="dxa"/>
        </w:tblCellMar>
      </w:tblPr>
      <w:tblGrid>
        <w:gridCol w:w="4591"/>
        <w:gridCol w:w="146"/>
        <w:gridCol w:w="211"/>
        <w:gridCol w:w="146"/>
        <w:gridCol w:w="736"/>
        <w:gridCol w:w="166"/>
        <w:gridCol w:w="146"/>
        <w:gridCol w:w="211"/>
        <w:gridCol w:w="146"/>
        <w:gridCol w:w="736"/>
        <w:gridCol w:w="2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w:t>
            </w:r>
          </w:p>
        </w:tc>
        <w:tc>
          <w:tcPr>
            <w:tcW w:w="21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 and other 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21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Write-downs of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11" w:type="dxa"/>
            <w:tcBorders/>
            <w:shd w:fill="CFF0FC" w:val="clear"/>
            <w:vAlign w:val="center"/>
          </w:tcPr>
          <w:p>
            <w:pPr>
              <w:pStyle w:val="TableContents"/>
              <w:bidi w:val="0"/>
              <w:spacing w:before="0" w:after="283"/>
              <w:jc w:val="left"/>
              <w:rPr/>
            </w:pPr>
            <w:r>
              <w:rPr/>
              <w:t> </w:t>
            </w:r>
          </w:p>
        </w:tc>
      </w:tr>
      <w:tr>
        <w:trPr/>
        <w:tc>
          <w:tcPr>
            <w:tcW w:w="4737"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of tax accounting basis in various assets</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14,549</w:t>
            </w:r>
          </w:p>
        </w:tc>
        <w:tc>
          <w:tcPr>
            <w:tcW w:w="21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pension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w:t>
            </w:r>
          </w:p>
        </w:tc>
        <w:tc>
          <w:tcPr>
            <w:tcW w:w="21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share-based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w:t>
            </w:r>
          </w:p>
        </w:tc>
        <w:tc>
          <w:tcPr>
            <w:tcW w:w="21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recognition on net investment in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reserves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72,764</w:t>
            </w:r>
          </w:p>
        </w:tc>
        <w:tc>
          <w:tcPr>
            <w:tcW w:w="21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21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net deferred tax assets include a liability of $1.3 million (December 31, 2022 — liability of $1.1 million) associated with amounts recognized within Accumulated Other Comprehensive Loss, including unrealized actuarial gains and losses related to the Company’s pension and other postretirement benefit plans and unrealized net gains and losses on cash flow hedging instruments.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Operating Loss Carryforwards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Estimated Canadian net operating loss carryforwards of $123.3 million can be used to reduce taxable income through 2043, China net operating losses of $5.3 million can be used to reduce taxable income through 2028, and $14.4 million of Ireland net operating losses can be carried forward indefinitely. Investment tax credits and other tax credits of $5.2 million can be carried forward to reduce income taxes payable through to 2043.</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Indefinitely Reinvested Assertion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Income taxes are accrued for the earnings of non-Canadian affiliates and associated companies unless management determines that such earnings will be indefinitely reinvested outside of Canada.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During the year ended December 31, 2023, $24.0 million (2022 — $27.4 million) of historical earnings from a subsidiary in China were distributed and, as a result, $2.4 million (2022 — $2.7 million) of foreign withholding taxes were paid to the relevant tax authorities. The Company has a deferred tax liability of $12.5 million as of December 31, 2023 (2022 — $14.9 million) related to the estimated applicable foreign withholding taxes associated with these historical earnings.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 xml:space="preserve">Valuation Allowance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Company’s Consolidated Balance Sheets include net deferred income tax assets of $8.0 million, net of a valuation allowance of $62.1 million (December 31, 2022 — $9.9 million, net of a valuation allowance of $62.9 million). For the year ended December 31, 2023, the Company recorded a net decrease in valuation allowance of $0.7 million (2022 — net increase of $16.8 million). The net decrease includes an increase of $2.0 million in reporting entities where it was concluded that it is more likely than not that the benefit from deferred tax assets will not be realized. This was offset by a decrease of $1.3 million related to the recognition of certain losses in IMAX China that management now considers to be realizable and a decrease of $1.4 million related to uncertain tax positions. The net decrease in the valuation allowance is reflected within Income Tax Expense in the Company’s Consolidated Statements of Operations. The valuation allowance is expected to reverse at the point in time when management determines it is more likely than not that the Company will incur sufficient tax liabilities to allow it to utilize the deferred tax assets against which the valuation allowance is recorded.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 xml:space="preserve">Uncertain Tax Positions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had total tax reserves (including interest and penalties) of $12.0 million (2022 — $12.3 million)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 recorded a net decrease of $0.8 million (2022 — $2.2 million, 2021 —$2.1 million) related to tax reserves (excluding interest and penalties) primarily related to tax years becoming statute barred for purposes of future tax examinations by local tax jurisdictions, partially offset by additional tax positions related to prior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to classify interest and penalties related to income tax liabilities, when applicable, as part of the Income Tax Expense in its Consolidated Statements of Operations rather than Interest Expense. The Company recorded a net increase of $0.6 million in potential interest and penalties associated with its provision for uncertain tax positions for the years ended December 31, 2023 (2022 — $0.6 million; 2021 — $1.4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a reconciliation of the beginning and ending amount of tax reserves (excluding interest and penalties) for the years ended December 31, 2023, 2022, and 2021:</w:t>
      </w:r>
    </w:p>
    <w:tbl>
      <w:tblPr>
        <w:tblW w:w="9916" w:type="dxa"/>
        <w:jc w:val="left"/>
        <w:tblInd w:w="0" w:type="dxa"/>
        <w:tblLayout w:type="fixed"/>
        <w:tblCellMar>
          <w:top w:w="28" w:type="dxa"/>
          <w:left w:w="28" w:type="dxa"/>
          <w:bottom w:w="28" w:type="dxa"/>
          <w:right w:w="28" w:type="dxa"/>
        </w:tblCellMar>
      </w:tblPr>
      <w:tblGrid>
        <w:gridCol w:w="5881"/>
        <w:gridCol w:w="146"/>
        <w:gridCol w:w="211"/>
        <w:gridCol w:w="146"/>
        <w:gridCol w:w="631"/>
        <w:gridCol w:w="166"/>
        <w:gridCol w:w="146"/>
        <w:gridCol w:w="211"/>
        <w:gridCol w:w="146"/>
        <w:gridCol w:w="676"/>
        <w:gridCol w:w="166"/>
        <w:gridCol w:w="146"/>
        <w:gridCol w:w="211"/>
        <w:gridCol w:w="146"/>
        <w:gridCol w:w="676"/>
        <w:gridCol w:w="2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211" w:type="dxa"/>
            <w:tcBorders/>
            <w:shd w:fill="CFF0FC" w:val="clear"/>
            <w:vAlign w:val="center"/>
          </w:tcPr>
          <w:p>
            <w:pPr>
              <w:pStyle w:val="TableContents"/>
              <w:bidi w:val="0"/>
              <w:spacing w:before="0" w:after="283"/>
              <w:jc w:val="left"/>
              <w:rPr/>
            </w:pPr>
            <w:r>
              <w:rPr/>
              <w:t> </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vAlign w:val="center"/>
          </w:tcPr>
          <w:p>
            <w:pPr>
              <w:pStyle w:val="TableContents"/>
              <w:bidi w:val="0"/>
              <w:spacing w:before="0" w:after="283"/>
              <w:jc w:val="left"/>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(reductions) for tax positions of prior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resulting from lapse of applicable statute of limitations and</w:t>
              <w:br/>
              <w:t>administrative practices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years with open tax audits varies depending on the tax jurisdiction. The Company’s material taxing jurisdictions include Canada, the United States, Ireland, and China. The Company’s 2020 through 2023 tax years remain subject to examination by the IRS for United States federal tax purposes, and the 2016 through 2023 tax years remain subject to examination by the appropriate governmental agencies for Canadian federal tax purposes. There are other on-going audits in various other jurisdictions that are not material to the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audit by tax authorities in the various jurisdictions in which it operates in the ordinary course of its business and believes that it has adequately reserved for the expected exposures in its accounts. During the fourth quarter of 2022, the Company received a Notice of Reassessment (the “Reassessment”) in the amount of $13.2 million (inclusive of interest). A revised Reassessment was issued by the CRA in May 2023 to reduce the amount previously reassessed to $2.7 million (inclusive of interest). The Company has filed a Notice of Objection with respect to this Reassessment and believes that the matter will be resolved on a basis that is consistent with its filing position.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Effect on Other Comprehensive (Loss) Income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Income Tax Expense related to the components of Other Comprehensive (Loss) Income is as follows:</w:t>
      </w:r>
    </w:p>
    <w:tbl>
      <w:tblPr>
        <w:tblW w:w="10205" w:type="dxa"/>
        <w:jc w:val="left"/>
        <w:tblInd w:w="0" w:type="dxa"/>
        <w:tblLayout w:type="fixed"/>
        <w:tblCellMar>
          <w:top w:w="28" w:type="dxa"/>
          <w:left w:w="28" w:type="dxa"/>
          <w:bottom w:w="28" w:type="dxa"/>
          <w:right w:w="28" w:type="dxa"/>
        </w:tblCellMar>
      </w:tblPr>
      <w:tblGrid>
        <w:gridCol w:w="6710"/>
        <w:gridCol w:w="146"/>
        <w:gridCol w:w="211"/>
        <w:gridCol w:w="146"/>
        <w:gridCol w:w="481"/>
        <w:gridCol w:w="166"/>
        <w:gridCol w:w="146"/>
        <w:gridCol w:w="211"/>
        <w:gridCol w:w="146"/>
        <w:gridCol w:w="481"/>
        <w:gridCol w:w="166"/>
        <w:gridCol w:w="146"/>
        <w:gridCol w:w="211"/>
        <w:gridCol w:w="146"/>
        <w:gridCol w:w="481"/>
        <w:gridCol w:w="211"/>
      </w:tblGrid>
      <w:tr>
        <w:trPr/>
        <w:tc>
          <w:tcPr>
            <w:tcW w:w="6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0"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change in defined benefit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change in postretirement benefit plans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defined benefit and postretirement benefit plans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change in cash flow hedging 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change in cash flow hedging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FFFFFF" w:val="clear"/>
            <w:vAlign w:val="center"/>
          </w:tcPr>
          <w:p>
            <w:pPr>
              <w:pStyle w:val="TableContents"/>
              <w:bidi w:val="0"/>
              <w:spacing w:before="0" w:after="283"/>
              <w:jc w:val="left"/>
              <w:rPr/>
            </w:pPr>
            <w:r>
              <w:rPr/>
              <w:t> </w:t>
            </w:r>
          </w:p>
        </w:tc>
      </w:tr>
      <w:tr>
        <w:trPr/>
        <w:tc>
          <w:tcPr>
            <w:tcW w:w="6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unrealized change in ineffective cash flow hedging 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13. Goodwill and Other Intangible Assets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Company’s total Goodwill was $52.8 million, of which $13.8 million relates to the SSIMWAVE reporting unit, which was acquired on September 22, 2022, and $39.0 million relates to the Technology Products and Services reporting unit (December 31, 2022 — $39.0 million). (Refer to Note 4 for additional information related to the Company’s acquisition of SSIMWAVE).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performed a qualitative impairment test as of the annual assessment date, September 30, 2023, to evaluate whether it is more likely than not that the fair value of its reporting units was less than their respective carrying amounts. Based on such assessment, the Company concluded, with respect to all reporting units other than SSIMWAVE, that it is not more likely than not that the fair value of any such reporting unit is less than its carrying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Accordingly, the Company performed the quantitative assessment of goodwill impairment for the SSIMWAVE reporting unit. Based on the quantitative assessment, the Company concluded that there is no impairment in the year ended December 31, 2023 and the fair value of the SSIMWAVE reporting unit exceeded its carrying value.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significant assumptions, including revenue growth rates, discount rate and other factors may change in the future based on the changing economic and competitive environment in which it operates. Assuming that all other components of the Company’s fair value estimate remain unchanged, an increase of 100 basis points in discount rate decreases the goodwill headroom by $9.5 million, and a decrease of 10% in the revenue growth rate decreases the goodwill headroom by $24.5 million, without triggering impairment charges of goodwill.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year ended December 31, 2022, the Company performed a qualitative impairment test as of the annual assessment date, September 30, 2022, to evaluate whether it is more likely than not that the fair value of its reporting units was less than their respective carrying amounts. Based on its assessment, the Company concluded that it was not more likely than not that the fair value of a reporting unit is less than its carrying amount for all reporting units.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Intangible Assets</w:t>
      </w:r>
    </w:p>
    <w:p>
      <w:pPr>
        <w:pStyle w:val="TextBody"/>
        <w:bidi w:val="0"/>
        <w:jc w:val="both"/>
        <w:rPr/>
      </w:pPr>
      <w:r>
        <w:rPr/>
        <w:t> </w:t>
      </w:r>
    </w:p>
    <w:tbl>
      <w:tblPr>
        <w:tblW w:w="7159" w:type="dxa"/>
        <w:jc w:val="left"/>
        <w:tblInd w:w="0" w:type="dxa"/>
        <w:tblLayout w:type="fixed"/>
        <w:tblCellMar>
          <w:top w:w="28" w:type="dxa"/>
          <w:left w:w="28" w:type="dxa"/>
          <w:bottom w:w="28" w:type="dxa"/>
          <w:right w:w="28" w:type="dxa"/>
        </w:tblCellMar>
      </w:tblPr>
      <w:tblGrid>
        <w:gridCol w:w="3091"/>
        <w:gridCol w:w="146"/>
        <w:gridCol w:w="211"/>
        <w:gridCol w:w="146"/>
        <w:gridCol w:w="676"/>
        <w:gridCol w:w="146"/>
        <w:gridCol w:w="146"/>
        <w:gridCol w:w="220"/>
        <w:gridCol w:w="152"/>
        <w:gridCol w:w="709"/>
        <w:gridCol w:w="146"/>
        <w:gridCol w:w="146"/>
        <w:gridCol w:w="211"/>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1"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 and intellectual property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process 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trademarks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Marketing-related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1"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 and intellectual property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process 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trademarks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Marketing-related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2023, the Company capitalized $8.2 million related to the development of internal use software, marketing-related intangibles, as well as additions in patents and trademarks and other intangible assets (2022 — $5.1 million). The weighted average amortization period for these additions is 4.3 years (2022 — 4.7 years). The net book value of the other intangible assets capitalized in 2023 was $8.1 million as of December 31, 2023 (2022 — $15.5 million). During 2022, the Company acquired $11.2 million of intangible assets through its acquisition of SSIMWAVE. (Refer to Note 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incurred costs of $0.4 million to renew or extend the term of acquired patents and trademarks which were recorded in Selling, General and Administrative expenses (2022 — $0.4 million); 2021 — $0.1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Fully amortized other intangible assets are still in use by the Company. In 2023, the Company identified and wrote off $1.0 million (2022 — $0.1 million; 2021—$0.1 million) of fully amortized patents and trademarks that are no longer in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estimated amortization expense for each of the next five years following the December 31, 2023 balance sheet date is as follows:</w:t>
      </w:r>
    </w:p>
    <w:tbl>
      <w:tblPr>
        <w:tblW w:w="3486" w:type="dxa"/>
        <w:jc w:val="left"/>
        <w:tblInd w:w="0" w:type="dxa"/>
        <w:tblLayout w:type="fixed"/>
        <w:tblCellMar>
          <w:top w:w="28" w:type="dxa"/>
          <w:left w:w="28" w:type="dxa"/>
          <w:bottom w:w="28" w:type="dxa"/>
          <w:right w:w="28" w:type="dxa"/>
        </w:tblCellMar>
      </w:tblPr>
      <w:tblGrid>
        <w:gridCol w:w="2221"/>
        <w:gridCol w:w="146"/>
        <w:gridCol w:w="211"/>
        <w:gridCol w:w="146"/>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Borrowings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Revolving Credit Facility Borrowings,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and 2022, Revolving Credit Facility Borrowings, Net includes the following:</w:t>
      </w:r>
    </w:p>
    <w:tbl>
      <w:tblPr>
        <w:tblW w:w="6415" w:type="dxa"/>
        <w:jc w:val="left"/>
        <w:tblInd w:w="0" w:type="dxa"/>
        <w:tblLayout w:type="fixed"/>
        <w:tblCellMar>
          <w:top w:w="28" w:type="dxa"/>
          <w:left w:w="28" w:type="dxa"/>
          <w:bottom w:w="28" w:type="dxa"/>
          <w:right w:w="28" w:type="dxa"/>
        </w:tblCellMar>
      </w:tblPr>
      <w:tblGrid>
        <w:gridCol w:w="3556"/>
        <w:gridCol w:w="146"/>
        <w:gridCol w:w="260"/>
        <w:gridCol w:w="835"/>
        <w:gridCol w:w="166"/>
        <w:gridCol w:w="146"/>
        <w:gridCol w:w="260"/>
        <w:gridCol w:w="835"/>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Credit Facility borrowings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HSBC China Facility borrowings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of China Facility borrowings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 net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Wells Fargo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PRC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December 31, 2023 as the Senior Secured Net Leverage Ratio was 0.00:1.00.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be less than 0.00%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borrowings under the Credit Facility were $24.0 million (December 31, 2022 — $25.0 million) and bear interest at Term SOFR, plus a margin up to 1.75% per annum (December 31, 2022 — 1.75%) based on the Company’s total leverage ratio. The effective interest rate for the year ended December 31, 2023 was 6.83% (2022 — 5.64%).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incurred fees of approximately $2.5 million in connection with the March 2022 amendment of the Credit Agreement, which are being amortized on a straight-line basis over the term of the Credit Agreement. In the first quarter of 2022, the Company expensed $0.4 million in unamortized deferred financing costs associated with lenders that are no longer parties to the Credit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May 25, 2022, the Company delivered a “Designated Period” suspension notice to the Agent, and the Company, the Agent and the lenders under the Credit Agreement entered into a limited consent, which notice and limited consent evidenced and effectuated the termination of the Designated Period under the Credit Agreement. From and after the termination of the Designated Period, the $75.0 million minimum liquidity covenant in the Credit Agreement was no longer in effect.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conjunction with the proposal to acquire the outstanding 96.3 million shares in IMAX China Holding, Inc. (“IMAX China”) (the “China Transaction”), the Company obtained a consent on June 30, 2023 under the Credit Facility to temporarily increase the Letter of Credit (“LC”) Accommodations Sublimit from $25.0 million to $130.0 million. On July 11, 2023, the Company obtained a LC in the amount of $130.0 million in favor of Morgan Stanley Asia Limited, the financial adviser for the China Transaction, to provide certainty of funds for the proposed proceeds and transaction costs payable with respect to the China Transaction. At the Extraordinary General Meeting of IMAX China shareholders held on October 9, 2023, the vast majority voted in favor of the China Transaction; however, the Company did not receive approval from 90% of disinterested IMAX China shareholders as required by Hong Kong law and, as a result, the Company’s proposal to acquire IMAX China’s outstanding shares did not proceed. Consequently, the LC and the temporary increase of the LC Accommodations Sublimit were canceled effective October 11,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and 2022, the Company had no letters of credit or advance payment guarantees outstanding under the Credit Facility.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amount available for future borrowings under the Credit Facility was $276.0 million.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Foreign Exchange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Within the Credit Facility, the Company is able to purchase foreign currency forward contracts and/or other swap arrangements. As of December 31, 2023, the net unrealized gain on the Company’s outstanding foreign currency forward contracts was $0.8 million, representing the amount by which the fair value of these forward contracts exceeded their nominal value ( 2022 — net unrealized loss of $0.6 million; 2021 — net unrealized gain of $0.1 million). As of December 31, 2023, the notional value of the Company’s outstanding foreign currency forward contracts was $40.6 million (December 31, 2022 — $24.7 million).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Bank of China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2022, IMAX (Shanghai) Multimedia Technology Co., Ltd. (“IMAX Shanghai”), one of the Company’s majority-owned subsidiaries in China, renewed its unsecured revolving facility with Bank of China for up to 200.0 million Chinese Renminbi (“RMB”) ($28.2 million), including RMB 10.0 million ($1.4 million) for letters of guarantee, to fund ongoing working capital requirements (the “Bank of China Facility”). The Bank of China Facility expired in September 2023 and has been renewed to February 21,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no borrowings were outstanding under the Bank of China Facility and outstanding letters of guarantee were RMB 0.2 million (less than $0.1 million). As of December 31, 2022, outstanding Bank of China Facility borrowings were RMB 2.6 million ($0.4 million) and outstanding letters of guarantee were RMB 2.8 million ($0.4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amount available for future borrowings under the Bank of China Facility was RMB 190.0 million ($26.8 million) and the amount available for letters of guarantee was RMB 9.8 million ($1.4 million). The amount available for future borrowings under the Bank of China Facility is not subject to a standby fee. The effective interest rate for the year ended December 31, 2023 was 3.85% (2022 — 4.12%).</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HSBC China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2022, IMAX Shanghai entered into an unsecured revolving facility for up to RMB 200.0 million ($28.2 million) with HSBC Bank (China) Company Limited, Shanghai Branch to fund ongoing working capital requirements (the “HSBC China Facility”). As of December 31, 2023, no borrowings were outstanding under the HSBC China facility (December 31, 2022 - RMB 87 million or $12.5 million). As of December 31, 2023, the amount available for future borrowings under the HSBC China Facility was RMB 200.0 million ($28.2 million). The effective interest rate for the year ended December 31, 2023 was 3.88% (2022— 3.91%).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NBC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2019, the Company entered into a $5.0 million facility with National Bank of Canada (the “NBC Facility”) fully insured by Export Development Canada for use solely in conjunction with the issuance of performance guarantees and letters of credit. The NBC Facility has been renewed to August 21, 2024. The NBC Facility is renewable on the same terms and conditions on an annual basis. The Company did not have any letters of credit or advance payment guarantees outstanding as of December 31, 2023 and 2022 under the NBC Facility.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 and Other Borrowings,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and December 31, 2022, Convertible Notes and Other Borrowings, Net includes the following:</w:t>
      </w:r>
    </w:p>
    <w:tbl>
      <w:tblPr>
        <w:tblW w:w="6790" w:type="dxa"/>
        <w:jc w:val="left"/>
        <w:tblInd w:w="0" w:type="dxa"/>
        <w:tblLayout w:type="fixed"/>
        <w:tblCellMar>
          <w:top w:w="28" w:type="dxa"/>
          <w:left w:w="28" w:type="dxa"/>
          <w:bottom w:w="28" w:type="dxa"/>
          <w:right w:w="28" w:type="dxa"/>
        </w:tblCellMar>
      </w:tblPr>
      <w:tblGrid>
        <w:gridCol w:w="3931"/>
        <w:gridCol w:w="146"/>
        <w:gridCol w:w="233"/>
        <w:gridCol w:w="862"/>
        <w:gridCol w:w="166"/>
        <w:gridCol w:w="146"/>
        <w:gridCol w:w="233"/>
        <w:gridCol w:w="862"/>
        <w:gridCol w:w="2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discounts and debt issuance costs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net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Economic Development Loan</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1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Unaccreted interest benefit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Economic Development Loan, net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and Other Borrowings, net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Capped Call Transactions meet all of the applicable criteria for equity classification in accordance with ASC 815-10-15-74(a), “Derivatives and Hedging — Embedded Derivatives — Certain Contracts Involving an Entity’s Own Equity,” and, as a result, the related $19.1 million cost was recorded as a reduction to Other Equity within Shareholders’ Equity on the Company’s Consolidated Statements of Shareholders’ Equity and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recorded the Convertible Notes entirely as a liability in the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Federal Economic Development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wholly-owned subsidiary, SSIMWAVE, entered into a contribution agreement with the Federal Economic Development Agency for Southern Ontario (the “Federal Economic Development Loan”) on May 29, 2019, under which SSIMWAVE received $4.2 million Canadian Dollar ($3.2 million) by way of repayable contributions toward certain eligible projects costs. The contributions under the agreement covered 35% of the eligible and supported costs incurred by SSIMWAVE between January 10, 2019 and December 31, 2022. The contributions were repayable over 60 months, with repayments to begin in January 2024 and an annual interest rate of 0%. As a result of SSIMWAVE amalgamating with the Company on January 1, 2024, the Federal Economic Development Loan was reassigned to the Company on January 4, 2024. Under the reassigned and amended agreement, the contributions are repayable over 36 months beginning January 2024, with an annual interest rate of 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on the Company’s Consolidated Statements of Operations. The obligation is being accreted to its maturity amount, resulting in an interest accretion expense of $0.5 million in 2023 (2022 — less than $0.1 million) which is being recorded within Interest Expense on the Company’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Federal Economic Development Loan has a carrying value of $2.5 million, net of unaccreted interest benefit and is recorded within Convertible Notes and Other Borrowings, Net on the Company’s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15. Commitments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4"/>
        <w:gridCol w:w="146"/>
        <w:gridCol w:w="211"/>
        <w:gridCol w:w="781"/>
        <w:gridCol w:w="146"/>
        <w:gridCol w:w="146"/>
        <w:gridCol w:w="370"/>
        <w:gridCol w:w="1189"/>
        <w:gridCol w:w="146"/>
        <w:gridCol w:w="146"/>
        <w:gridCol w:w="211"/>
        <w:gridCol w:w="781"/>
        <w:gridCol w:w="146"/>
        <w:gridCol w:w="146"/>
        <w:gridCol w:w="257"/>
        <w:gridCol w:w="698"/>
        <w:gridCol w:w="146"/>
        <w:gridCol w:w="146"/>
        <w:gridCol w:w="239"/>
        <w:gridCol w:w="647"/>
        <w:gridCol w:w="193"/>
      </w:tblGrid>
      <w:tr>
        <w:trPr/>
        <w:tc>
          <w:tcPr>
            <w:tcW w:w="3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obligations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Pension obligations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obligations</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Federal Economic Development Loan</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3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Postretirement benefits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93" w:type="dxa"/>
            <w:tcBorders/>
            <w:shd w:fill="FFFFFF" w:val="clear"/>
            <w:vAlign w:val="center"/>
          </w:tcPr>
          <w:p>
            <w:pPr>
              <w:pStyle w:val="TableContents"/>
              <w:bidi w:val="0"/>
              <w:spacing w:before="0" w:after="283"/>
              <w:jc w:val="left"/>
              <w:rPr/>
            </w:pPr>
            <w:r>
              <w:rPr/>
              <w:t> </w:t>
            </w:r>
          </w:p>
        </w:tc>
      </w:tr>
      <w:tr>
        <w:trPr/>
        <w:tc>
          <w:tcPr>
            <w:tcW w:w="33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333,488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260,697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Represents total payments to be made under binding commitments with suppliers and outstanding payments to be made for supplies ordered, but yet to be invoiced.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unfunded defined benefit pension plan covering its Chief Executive Officer. (Refer to Note 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Represents total minimum annual rental payments due under the Company’s operating leases. (Refer to Note 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Economic Development Loan will be repayable over 36 months, with repayments estimated to begin in January 2024. (Refer to Note 14(b).)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 (Refer to Note 14(b).)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compensates its sales force with both fixed and variable compensation. Commissions on the sale or lease of IMAX Systems are payable in graduated amounts from the time of collection of the customer’s first payment to the Company up to the collection of the customer’s last initial payment. As of December 31, 2023, $2.7 million (December 31, 2022 — $2.2 million) of commissions have been accrued and will be payable in future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 Contingencies and Guarantees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$26.2 million, inclusive of interest, as of December 31, 2023.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 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Financial Guarantees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subsidiaries of the Company have provided significant financial guarantees to third parties under the Credit Agreement (see Note 14).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Product Warranties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accrual for product warranties, which is recorded within Accrued and Other Liabilities in the Consolidated Balance Sheets, was less than $0.1 million and $nil as of December 31, 2023 and 2022,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Director/Officer Indemnifications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hAnsi="Times New Roman"/>
          <w:i/>
          <w:color w:val="000000"/>
          <w:sz w:val="20"/>
        </w:rPr>
        <w:t>Canada Business Corporations Act</w:t>
      </w:r>
      <w:r>
        <w:rPr>
          <w:rFonts w:ascii="Times New Roman" w:hAnsi="Times New Roman"/>
          <w:color w:val="000000"/>
          <w:sz w:val="20"/>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Consolidated Balance Sheets as of December 31, 2023 and December 31, 2022 with respect to this indemnity.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Indemnification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17. Capital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Authorized Common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authorized capital of the Company consists of an unlimited number of common shares. The following is a summary of the rights, privileges, restrictions, and conditions of the common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the common shares are entitled to one vote for each common share held at all meetings of the shareholders.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Settlements of Share-Based Compensation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During the years ended December 31, 2023, 2022, and 2021, the Company settled the exercise of stock options and the vesting of PSUs and RSUs with its common shares. These settlements were either through newly issued common shares from treasury or through the purchase of common shares in the open market by the IMAX LTIP trustee. The following table summarizes the settlement of stock option, PSU and RSU transactions: </w:t>
      </w:r>
    </w:p>
    <w:tbl>
      <w:tblPr>
        <w:tblW w:w="7446" w:type="dxa"/>
        <w:jc w:val="left"/>
        <w:tblInd w:w="0" w:type="dxa"/>
        <w:tblLayout w:type="fixed"/>
        <w:tblCellMar>
          <w:top w:w="28" w:type="dxa"/>
          <w:left w:w="28" w:type="dxa"/>
          <w:bottom w:w="28" w:type="dxa"/>
          <w:right w:w="28" w:type="dxa"/>
        </w:tblCellMar>
      </w:tblPr>
      <w:tblGrid>
        <w:gridCol w:w="3206"/>
        <w:gridCol w:w="146"/>
        <w:gridCol w:w="146"/>
        <w:gridCol w:w="146"/>
        <w:gridCol w:w="781"/>
        <w:gridCol w:w="146"/>
        <w:gridCol w:w="146"/>
        <w:gridCol w:w="146"/>
        <w:gridCol w:w="146"/>
        <w:gridCol w:w="781"/>
        <w:gridCol w:w="146"/>
        <w:gridCol w:w="146"/>
        <w:gridCol w:w="146"/>
        <w:gridCol w:w="146"/>
        <w:gridCol w:w="781"/>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Issued from treasury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stock 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Issued from treasury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withheld for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PSUs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Issued from treasury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531,629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Plan trustee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withheld for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RSUs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w:t>
      </w:r>
    </w:p>
    <w:p>
      <w:pPr>
        <w:pStyle w:val="TextBody"/>
        <w:bidi w:val="0"/>
        <w:jc w:val="both"/>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issues share-based compensation to eligible employees, directors, and consultants under the IMAX LTIP and the China LTIP, as summarized below. On June 3, 2020, the Company’s shareholders approved the IMAX LTIP at its Annual and Special Meeting.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Awards under the IMAX LTIP may consist of stock options, RSUs, PSUs, and other awards. Stock options are no longer granted under the Company’s previously approved Stock Option Plan (“SOP”).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 ended December 31, 2023, share-based compensation expense totaled $23.6 million (2022 — $27.0 million; 2021 — $25.6 million) and is reflected in the following accounts in the Consolidated Statements of Operations:</w:t>
      </w:r>
    </w:p>
    <w:tbl>
      <w:tblPr>
        <w:tblW w:w="9021" w:type="dxa"/>
        <w:jc w:val="left"/>
        <w:tblInd w:w="0" w:type="dxa"/>
        <w:tblLayout w:type="fixed"/>
        <w:tblCellMar>
          <w:top w:w="28" w:type="dxa"/>
          <w:left w:w="28" w:type="dxa"/>
          <w:bottom w:w="28" w:type="dxa"/>
          <w:right w:w="28" w:type="dxa"/>
        </w:tblCellMar>
      </w:tblPr>
      <w:tblGrid>
        <w:gridCol w:w="4981"/>
        <w:gridCol w:w="146"/>
        <w:gridCol w:w="211"/>
        <w:gridCol w:w="146"/>
        <w:gridCol w:w="676"/>
        <w:gridCol w:w="166"/>
        <w:gridCol w:w="146"/>
        <w:gridCol w:w="211"/>
        <w:gridCol w:w="146"/>
        <w:gridCol w:w="676"/>
        <w:gridCol w:w="146"/>
        <w:gridCol w:w="146"/>
        <w:gridCol w:w="211"/>
        <w:gridCol w:w="146"/>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 applicable to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23,776</w:t>
            </w:r>
          </w:p>
        </w:tc>
        <w:tc>
          <w:tcPr>
            <w:tcW w:w="1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 restructuring charges and associated impairments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of December 31, 2023, the Company has reserved a total of 5,538,873 (December 31, 2022 — 5,788,499) common shares for future issuance under the IMAX LTIP. Of this amount, 3,329,422 common shares are reserved for the future exercise of stock options (December 31, 2022 — 3,604,739), 922,621 common shares are reserved for the future vesting of PSUs (December 31, 2022 — 931,716), and 1,286,830 common shares are reserved for the future vesting of RSUs (December 31, 2022 — 1,252,044). As of December 31, 2023, 3,329,422 stock options in respect of common shares (December 31, 2022 — 3,523,335) were vested and exercisable.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IMAX LTIP and SOP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policy is to issue new common shares from treasury or shares purchased in the open market to satisfy stock options which are exercised. The Company no longer intends to issue new stock option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utilizes a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stock option awards are granted at the fair market value of the Company’s common shares on the date of grant. The fair market value of a common share on a given date is based on the higher of the closing price of a common share on either: (i) the grant date or (ii) the most recent trading date if the grant date is not a trading date on the New York Stock Exchange (“NYSE”) or such national exchange as may be designated by the Company’s Board of Directors. All stock options have been vested and expire 10 years or less from the date of the grant. The SOP and IMAX LTIP provide for double-trigger accelerated vesting in the event of a change in control, as defined in each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recorded the following expenses related to stock options issued to employees and directors under the IMAX LTIP and SOP:</w:t>
      </w:r>
    </w:p>
    <w:p>
      <w:pPr>
        <w:pStyle w:val="TextBody"/>
        <w:bidi w:val="0"/>
        <w:jc w:val="both"/>
        <w:rPr/>
      </w:pPr>
      <w:r>
        <w:rPr/>
        <w:t> </w:t>
      </w:r>
    </w:p>
    <w:tbl>
      <w:tblPr>
        <w:tblW w:w="5521" w:type="dxa"/>
        <w:jc w:val="left"/>
        <w:tblInd w:w="0" w:type="dxa"/>
        <w:tblLayout w:type="fixed"/>
        <w:tblCellMar>
          <w:top w:w="28" w:type="dxa"/>
          <w:left w:w="28" w:type="dxa"/>
          <w:bottom w:w="28" w:type="dxa"/>
          <w:right w:w="28" w:type="dxa"/>
        </w:tblCellMar>
      </w:tblPr>
      <w:tblGrid>
        <w:gridCol w:w="2221"/>
        <w:gridCol w:w="146"/>
        <w:gridCol w:w="211"/>
        <w:gridCol w:w="146"/>
        <w:gridCol w:w="316"/>
        <w:gridCol w:w="146"/>
        <w:gridCol w:w="146"/>
        <w:gridCol w:w="211"/>
        <w:gridCol w:w="146"/>
        <w:gridCol w:w="421"/>
        <w:gridCol w:w="146"/>
        <w:gridCol w:w="146"/>
        <w:gridCol w:w="211"/>
        <w:gridCol w:w="146"/>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2023, the Company’s Consolidated Statements of Operations includes an income tax benefit of $nil related to stock option expense (2022 — $0.1 million; 2021 — $0.1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2022, and 2021, unrecognized share-based compensation expense related to non-vested employee stock options is as follows:</w:t>
      </w:r>
    </w:p>
    <w:tbl>
      <w:tblPr>
        <w:tblW w:w="9181" w:type="dxa"/>
        <w:jc w:val="left"/>
        <w:tblInd w:w="0" w:type="dxa"/>
        <w:tblLayout w:type="fixed"/>
        <w:tblCellMar>
          <w:top w:w="28" w:type="dxa"/>
          <w:left w:w="28" w:type="dxa"/>
          <w:bottom w:w="28" w:type="dxa"/>
          <w:right w:w="28" w:type="dxa"/>
        </w:tblCellMar>
      </w:tblPr>
      <w:tblGrid>
        <w:gridCol w:w="6106"/>
        <w:gridCol w:w="146"/>
        <w:gridCol w:w="211"/>
        <w:gridCol w:w="146"/>
        <w:gridCol w:w="346"/>
        <w:gridCol w:w="146"/>
        <w:gridCol w:w="146"/>
        <w:gridCol w:w="211"/>
        <w:gridCol w:w="146"/>
        <w:gridCol w:w="316"/>
        <w:gridCol w:w="146"/>
        <w:gridCol w:w="146"/>
        <w:gridCol w:w="211"/>
        <w:gridCol w:w="146"/>
        <w:gridCol w:w="421"/>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not yet recognized related to non-vested employee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2023, 2022, and 2021, unrecognized share-based compensation expense related to non-vested employee stock options is expected to be recognized over the following weighted-average periods:</w:t>
      </w:r>
    </w:p>
    <w:p>
      <w:pPr>
        <w:pStyle w:val="TextBody"/>
        <w:bidi w:val="0"/>
        <w:jc w:val="both"/>
        <w:rPr/>
      </w:pPr>
      <w:r>
        <w:rPr/>
        <w:t> </w:t>
      </w:r>
    </w:p>
    <w:tbl>
      <w:tblPr>
        <w:tblW w:w="5821" w:type="dxa"/>
        <w:jc w:val="left"/>
        <w:tblInd w:w="0" w:type="dxa"/>
        <w:tblLayout w:type="fixed"/>
        <w:tblCellMar>
          <w:top w:w="28" w:type="dxa"/>
          <w:left w:w="28" w:type="dxa"/>
          <w:bottom w:w="28" w:type="dxa"/>
          <w:right w:w="28" w:type="dxa"/>
        </w:tblCellMar>
      </w:tblPr>
      <w:tblGrid>
        <w:gridCol w:w="2956"/>
        <w:gridCol w:w="146"/>
        <w:gridCol w:w="146"/>
        <w:gridCol w:w="146"/>
        <w:gridCol w:w="346"/>
        <w:gridCol w:w="146"/>
        <w:gridCol w:w="146"/>
        <w:gridCol w:w="146"/>
        <w:gridCol w:w="146"/>
        <w:gridCol w:w="361"/>
        <w:gridCol w:w="146"/>
        <w:gridCol w:w="146"/>
        <w:gridCol w:w="146"/>
        <w:gridCol w:w="146"/>
        <w:gridCol w:w="36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period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years ended December 31, 2023, 2022 and 2021, the Company did not grant any stock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stock option activity under the SOP and IMAX LTIP for the years ended December 31, 2023, 2022, and 2021: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3"/>
        <w:gridCol w:w="146"/>
        <w:gridCol w:w="146"/>
        <w:gridCol w:w="931"/>
        <w:gridCol w:w="166"/>
        <w:gridCol w:w="146"/>
        <w:gridCol w:w="146"/>
        <w:gridCol w:w="931"/>
        <w:gridCol w:w="166"/>
        <w:gridCol w:w="146"/>
        <w:gridCol w:w="146"/>
        <w:gridCol w:w="931"/>
        <w:gridCol w:w="166"/>
        <w:gridCol w:w="146"/>
        <w:gridCol w:w="211"/>
        <w:gridCol w:w="146"/>
        <w:gridCol w:w="571"/>
        <w:gridCol w:w="146"/>
        <w:gridCol w:w="146"/>
        <w:gridCol w:w="211"/>
        <w:gridCol w:w="146"/>
        <w:gridCol w:w="571"/>
        <w:gridCol w:w="146"/>
        <w:gridCol w:w="146"/>
        <w:gridCol w:w="211"/>
        <w:gridCol w:w="146"/>
        <w:gridCol w:w="571"/>
        <w:gridCol w:w="191"/>
      </w:tblGrid>
      <w:tr>
        <w:trPr/>
        <w:tc>
          <w:tcPr>
            <w:tcW w:w="2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6"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57"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w:t>
            </w:r>
          </w:p>
        </w:tc>
        <w:tc>
          <w:tcPr>
            <w:tcW w:w="191" w:type="dxa"/>
            <w:tcBorders/>
            <w:shd w:fill="FFFFFF" w:val="clear"/>
            <w:vAlign w:val="center"/>
          </w:tcPr>
          <w:p>
            <w:pPr>
              <w:pStyle w:val="TableContents"/>
              <w:bidi w:val="0"/>
              <w:spacing w:before="0" w:after="283"/>
              <w:jc w:val="center"/>
              <w:rPr/>
            </w:pPr>
            <w:r>
              <w:rPr/>
              <w:t> </w:t>
            </w:r>
          </w:p>
        </w:tc>
      </w:tr>
      <w:tr>
        <w:trPr/>
        <w:tc>
          <w:tcPr>
            <w:tcW w:w="23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91" w:type="dxa"/>
            <w:tcBorders/>
            <w:shd w:fill="FFFFFF" w:val="clear"/>
            <w:vAlign w:val="center"/>
          </w:tcPr>
          <w:p>
            <w:pPr>
              <w:pStyle w:val="TableContents"/>
              <w:bidi w:val="0"/>
              <w:spacing w:before="0" w:after="283"/>
              <w:jc w:val="left"/>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91" w:type="dxa"/>
            <w:tcBorders/>
            <w:shd w:fill="FFFFFF" w:val="clear"/>
            <w:vAlign w:val="center"/>
          </w:tcPr>
          <w:p>
            <w:pPr>
              <w:pStyle w:val="TableContents"/>
              <w:bidi w:val="0"/>
              <w:spacing w:before="0" w:after="283"/>
              <w:jc w:val="left"/>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exercisable, end of year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3,329,422 options outstanding included both fully vested and unvested options with a weighted average exercise price of $26.23, an aggregate intrinsic value of $nil and a weighted average remaining contractual life of 2.4 years. The intrinsic value of options exercised in 2023 was $nil (2022 —$ nil; 2021 — $0.1 million). </w:t>
      </w:r>
    </w:p>
    <w:p>
      <w:pPr>
        <w:pStyle w:val="TextBody"/>
        <w:bidi w:val="0"/>
        <w:spacing w:before="200" w:after="283"/>
        <w:jc w:val="both"/>
        <w:rPr>
          <w:rFonts w:ascii="Times New Roman" w:hAnsi="Times New Roman"/>
          <w:sz w:val="20"/>
        </w:rPr>
      </w:pPr>
      <w:r>
        <w:rPr>
          <w:rFonts w:ascii="Times New Roman" w:hAnsi="Times New Roman"/>
          <w:i/>
          <w:color w:val="000000"/>
          <w:sz w:val="20"/>
        </w:rPr>
        <w:t>IMAX LTIP Restricted Share Units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share for five days prior to the date of grant. For the years ended December 31, 2023, 2022, and 2021, the Company recorded the following expenses related to RSUs issued to employees and directors in the IMAX LTIP: </w:t>
      </w:r>
    </w:p>
    <w:tbl>
      <w:tblPr>
        <w:tblW w:w="6241" w:type="dxa"/>
        <w:jc w:val="left"/>
        <w:tblInd w:w="0" w:type="dxa"/>
        <w:tblLayout w:type="fixed"/>
        <w:tblCellMar>
          <w:top w:w="28" w:type="dxa"/>
          <w:left w:w="28" w:type="dxa"/>
          <w:bottom w:w="28" w:type="dxa"/>
          <w:right w:w="28" w:type="dxa"/>
        </w:tblCellMar>
      </w:tblPr>
      <w:tblGrid>
        <w:gridCol w:w="2221"/>
        <w:gridCol w:w="146"/>
        <w:gridCol w:w="211"/>
        <w:gridCol w:w="146"/>
        <w:gridCol w:w="676"/>
        <w:gridCol w:w="146"/>
        <w:gridCol w:w="146"/>
        <w:gridCol w:w="211"/>
        <w:gridCol w:w="146"/>
        <w:gridCol w:w="676"/>
        <w:gridCol w:w="146"/>
        <w:gridCol w:w="146"/>
        <w:gridCol w:w="211"/>
        <w:gridCol w:w="146"/>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actual tax benefits realized for the tax deductions related to the vesting of RSUs was $0.8 million for the year ended December 31, 2023 (2022 — $0.9 million; 2021 — $0.6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accrued liability for granted RSUs was $2.7 million as of December 31, 2023 (December 31, 2022 — $0.8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Total share-based compensation expense related to non-vested RSUs not yet recognized and the weighted average period over which the awards are expected to be recognized are as follows: </w:t>
      </w:r>
    </w:p>
    <w:p>
      <w:pPr>
        <w:pStyle w:val="TextBody"/>
        <w:bidi w:val="0"/>
        <w:jc w:val="both"/>
        <w:rPr/>
      </w:pPr>
      <w:r>
        <w:rPr/>
        <w:t> </w:t>
      </w:r>
    </w:p>
    <w:tbl>
      <w:tblPr>
        <w:tblW w:w="10036" w:type="dxa"/>
        <w:jc w:val="left"/>
        <w:tblInd w:w="0" w:type="dxa"/>
        <w:tblLayout w:type="fixed"/>
        <w:tblCellMar>
          <w:top w:w="28" w:type="dxa"/>
          <w:left w:w="28" w:type="dxa"/>
          <w:bottom w:w="28" w:type="dxa"/>
          <w:right w:w="28" w:type="dxa"/>
        </w:tblCellMar>
      </w:tblPr>
      <w:tblGrid>
        <w:gridCol w:w="6016"/>
        <w:gridCol w:w="146"/>
        <w:gridCol w:w="211"/>
        <w:gridCol w:w="146"/>
        <w:gridCol w:w="676"/>
        <w:gridCol w:w="146"/>
        <w:gridCol w:w="146"/>
        <w:gridCol w:w="211"/>
        <w:gridCol w:w="146"/>
        <w:gridCol w:w="676"/>
        <w:gridCol w:w="146"/>
        <w:gridCol w:w="146"/>
        <w:gridCol w:w="211"/>
        <w:gridCol w:w="146"/>
        <w:gridCol w:w="676"/>
        <w:gridCol w:w="1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not yet recognized related to non-vested RSUs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15,913</w:t>
            </w:r>
          </w:p>
        </w:tc>
        <w:tc>
          <w:tcPr>
            <w:tcW w:w="191" w:type="dxa"/>
            <w:tcBorders/>
            <w:shd w:fill="CFF0FC" w:val="clear"/>
            <w:vAlign w:val="center"/>
          </w:tcPr>
          <w:p>
            <w:pPr>
              <w:pStyle w:val="TableContents"/>
              <w:bidi w:val="0"/>
              <w:spacing w:before="0" w:after="283"/>
              <w:jc w:val="left"/>
              <w:rPr/>
            </w:pPr>
            <w:r>
              <w:rPr/>
              <w:t> </w:t>
            </w:r>
          </w:p>
        </w:tc>
      </w:tr>
      <w:tr>
        <w:trPr/>
        <w:tc>
          <w:tcPr>
            <w:tcW w:w="6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6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period awards are expected to be recognized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activity in respect of RSUs issued under the IMAX LTIP for the years ended December 31, 2023, 2022, and 2021:</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3"/>
        <w:gridCol w:w="146"/>
        <w:gridCol w:w="146"/>
        <w:gridCol w:w="931"/>
        <w:gridCol w:w="166"/>
        <w:gridCol w:w="146"/>
        <w:gridCol w:w="146"/>
        <w:gridCol w:w="931"/>
        <w:gridCol w:w="166"/>
        <w:gridCol w:w="146"/>
        <w:gridCol w:w="146"/>
        <w:gridCol w:w="931"/>
        <w:gridCol w:w="166"/>
        <w:gridCol w:w="146"/>
        <w:gridCol w:w="211"/>
        <w:gridCol w:w="146"/>
        <w:gridCol w:w="571"/>
        <w:gridCol w:w="146"/>
        <w:gridCol w:w="146"/>
        <w:gridCol w:w="211"/>
        <w:gridCol w:w="146"/>
        <w:gridCol w:w="571"/>
        <w:gridCol w:w="146"/>
        <w:gridCol w:w="146"/>
        <w:gridCol w:w="211"/>
        <w:gridCol w:w="146"/>
        <w:gridCol w:w="571"/>
        <w:gridCol w:w="191"/>
      </w:tblGrid>
      <w:tr>
        <w:trPr/>
        <w:tc>
          <w:tcPr>
            <w:tcW w:w="2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91" w:type="dxa"/>
            <w:tcBorders/>
            <w:shd w:fill="FFFFFF" w:val="clear"/>
            <w:vAlign w:val="center"/>
          </w:tcPr>
          <w:p>
            <w:pPr>
              <w:pStyle w:val="TableContents"/>
              <w:bidi w:val="0"/>
              <w:spacing w:before="0" w:after="283"/>
              <w:jc w:val="left"/>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settled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91" w:type="dxa"/>
            <w:tcBorders/>
            <w:shd w:fill="CFF0FC"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shd w:fill="FFFFFF" w:val="clear"/>
            <w:vAlign w:val="center"/>
          </w:tcPr>
          <w:p>
            <w:pPr>
              <w:pStyle w:val="TableContents"/>
              <w:bidi w:val="0"/>
              <w:spacing w:before="0" w:after="283"/>
              <w:jc w:val="left"/>
              <w:rPr/>
            </w:pPr>
            <w:r>
              <w:rPr/>
              <w:t> </w:t>
            </w:r>
          </w:p>
        </w:tc>
      </w:tr>
      <w:tr>
        <w:trPr/>
        <w:tc>
          <w:tcPr>
            <w:tcW w:w="2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end of year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Historically, RSUs granted under the IMAX LTIP have vested between immediately and three years from the grant date. On June 3 2020, the IMAX LTIP was amended to require a minimum vesting period of one year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tbl>
      <w:tblPr>
        <w:tblW w:w="4225" w:type="dxa"/>
        <w:jc w:val="left"/>
        <w:tblInd w:w="0" w:type="dxa"/>
        <w:tblLayout w:type="fixed"/>
        <w:tblCellMar>
          <w:top w:w="28" w:type="dxa"/>
          <w:left w:w="28" w:type="dxa"/>
          <w:bottom w:w="28" w:type="dxa"/>
          <w:right w:w="28" w:type="dxa"/>
        </w:tblCellMar>
      </w:tblPr>
      <w:tblGrid>
        <w:gridCol w:w="2791"/>
        <w:gridCol w:w="146"/>
        <w:gridCol w:w="146"/>
        <w:gridCol w:w="931"/>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under the IMAX LTIP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1,030,000</w:t>
            </w:r>
          </w:p>
        </w:tc>
        <w:tc>
          <w:tcPr>
            <w:tcW w:w="21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during previous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(541,942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during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Restricted Share Units to Non-Employees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years ended December 31, 2023, 2022 and 2021, the Company did not grant any restricted share units to non-employees. The Company did not record any expenses for the year ended December 31, 2023 related to RSU grants issued to non-employees of the Company (2022 ― $nil; 2021 ― $nil).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IMAX LTIP Performance Stock Units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grants two types of PSUs awards, one which vests based on a combination of employee service and the achievement of certain Adjusted EBITDA targets and one which vests based on a combination of employee service and the achievement of total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the years ended December 31, 2023, 2022, and 2021, the Company recorded the following expenses related to outstanding PSUs, which includes adjustments reflecting management’s estimate of the number of PSUs with Adjusted EBITDA targets expected to vest: </w:t>
      </w:r>
    </w:p>
    <w:tbl>
      <w:tblPr>
        <w:tblW w:w="5926" w:type="dxa"/>
        <w:jc w:val="left"/>
        <w:tblInd w:w="0" w:type="dxa"/>
        <w:tblLayout w:type="fixed"/>
        <w:tblCellMar>
          <w:top w:w="28" w:type="dxa"/>
          <w:left w:w="28" w:type="dxa"/>
          <w:bottom w:w="28" w:type="dxa"/>
          <w:right w:w="28" w:type="dxa"/>
        </w:tblCellMar>
      </w:tblPr>
      <w:tblGrid>
        <w:gridCol w:w="2221"/>
        <w:gridCol w:w="146"/>
        <w:gridCol w:w="211"/>
        <w:gridCol w:w="146"/>
        <w:gridCol w:w="571"/>
        <w:gridCol w:w="146"/>
        <w:gridCol w:w="146"/>
        <w:gridCol w:w="211"/>
        <w:gridCol w:w="146"/>
        <w:gridCol w:w="571"/>
        <w:gridCol w:w="146"/>
        <w:gridCol w:w="146"/>
        <w:gridCol w:w="211"/>
        <w:gridCol w:w="146"/>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actual tax benefits realized for the tax deductions related to the vesting of PSUs was $0.3 million for the year ended December 31, 2023 (2022 ― $nil; 2021 ― $nil).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share-based compensation expense related to non-vested PSUs not yet recognized and the weighted average period over which the awards are expected to be recognized are as follows:</w:t>
      </w:r>
    </w:p>
    <w:p>
      <w:pPr>
        <w:pStyle w:val="TextBody"/>
        <w:bidi w:val="0"/>
        <w:jc w:val="both"/>
        <w:rPr/>
      </w:pPr>
      <w:r>
        <w:rPr/>
        <w:t> </w:t>
      </w:r>
    </w:p>
    <w:tbl>
      <w:tblPr>
        <w:tblW w:w="9931" w:type="dxa"/>
        <w:jc w:val="left"/>
        <w:tblInd w:w="0" w:type="dxa"/>
        <w:tblLayout w:type="fixed"/>
        <w:tblCellMar>
          <w:top w:w="28" w:type="dxa"/>
          <w:left w:w="28" w:type="dxa"/>
          <w:bottom w:w="28" w:type="dxa"/>
          <w:right w:w="28" w:type="dxa"/>
        </w:tblCellMar>
      </w:tblPr>
      <w:tblGrid>
        <w:gridCol w:w="6016"/>
        <w:gridCol w:w="146"/>
        <w:gridCol w:w="211"/>
        <w:gridCol w:w="146"/>
        <w:gridCol w:w="676"/>
        <w:gridCol w:w="146"/>
        <w:gridCol w:w="146"/>
        <w:gridCol w:w="211"/>
        <w:gridCol w:w="146"/>
        <w:gridCol w:w="676"/>
        <w:gridCol w:w="146"/>
        <w:gridCol w:w="146"/>
        <w:gridCol w:w="211"/>
        <w:gridCol w:w="146"/>
        <w:gridCol w:w="571"/>
        <w:gridCol w:w="1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not yet recognized related to non-vested PSUs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191" w:type="dxa"/>
            <w:tcBorders/>
            <w:shd w:fill="CFF0FC" w:val="clear"/>
            <w:vAlign w:val="center"/>
          </w:tcPr>
          <w:p>
            <w:pPr>
              <w:pStyle w:val="TableContents"/>
              <w:bidi w:val="0"/>
              <w:spacing w:before="0" w:after="283"/>
              <w:jc w:val="left"/>
              <w:rPr/>
            </w:pPr>
            <w:r>
              <w:rPr/>
              <w:t> </w:t>
            </w:r>
          </w:p>
        </w:tc>
      </w:tr>
      <w:tr>
        <w:trPr/>
        <w:tc>
          <w:tcPr>
            <w:tcW w:w="6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6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period awards are expected to be recognized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activity in respect of PSUs issued under the IMAX LTIP:</w:t>
      </w:r>
    </w:p>
    <w:tbl>
      <w:tblPr>
        <w:tblW w:w="10205" w:type="dxa"/>
        <w:jc w:val="left"/>
        <w:tblInd w:w="0" w:type="dxa"/>
        <w:tblLayout w:type="fixed"/>
        <w:tblCellMar>
          <w:top w:w="28" w:type="dxa"/>
          <w:left w:w="28" w:type="dxa"/>
          <w:bottom w:w="28" w:type="dxa"/>
          <w:right w:w="28" w:type="dxa"/>
        </w:tblCellMar>
      </w:tblPr>
      <w:tblGrid>
        <w:gridCol w:w="2869"/>
        <w:gridCol w:w="146"/>
        <w:gridCol w:w="146"/>
        <w:gridCol w:w="841"/>
        <w:gridCol w:w="166"/>
        <w:gridCol w:w="146"/>
        <w:gridCol w:w="146"/>
        <w:gridCol w:w="781"/>
        <w:gridCol w:w="166"/>
        <w:gridCol w:w="146"/>
        <w:gridCol w:w="781"/>
        <w:gridCol w:w="166"/>
        <w:gridCol w:w="146"/>
        <w:gridCol w:w="211"/>
        <w:gridCol w:w="146"/>
        <w:gridCol w:w="571"/>
        <w:gridCol w:w="146"/>
        <w:gridCol w:w="146"/>
        <w:gridCol w:w="211"/>
        <w:gridCol w:w="146"/>
        <w:gridCol w:w="571"/>
        <w:gridCol w:w="146"/>
        <w:gridCol w:w="146"/>
        <w:gridCol w:w="211"/>
        <w:gridCol w:w="146"/>
        <w:gridCol w:w="571"/>
        <w:gridCol w:w="191"/>
      </w:tblGrid>
      <w:tr>
        <w:trPr/>
        <w:tc>
          <w:tcPr>
            <w:tcW w:w="2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6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w:t>
              <w:br/>
              <w:t>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outstanding,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91" w:type="dxa"/>
            <w:tcBorders/>
            <w:shd w:fill="CFF0FC"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91" w:type="dxa"/>
            <w:tcBorders/>
            <w:shd w:fill="FFFFFF" w:val="clear"/>
            <w:vAlign w:val="center"/>
          </w:tcPr>
          <w:p>
            <w:pPr>
              <w:pStyle w:val="TableContents"/>
              <w:bidi w:val="0"/>
              <w:spacing w:before="0" w:after="283"/>
              <w:jc w:val="left"/>
              <w:rPr/>
            </w:pPr>
            <w:r>
              <w:rPr/>
              <w:t> </w:t>
            </w:r>
          </w:p>
        </w:tc>
      </w:tr>
      <w:tr>
        <w:trPr/>
        <w:tc>
          <w:tcPr>
            <w:tcW w:w="286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 and settled</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91" w:type="dxa"/>
            <w:tcBorders/>
            <w:shd w:fill="FFFFFF" w:val="clear"/>
            <w:vAlign w:val="center"/>
          </w:tcPr>
          <w:p>
            <w:pPr>
              <w:pStyle w:val="TableContents"/>
              <w:bidi w:val="0"/>
              <w:spacing w:before="0" w:after="283"/>
              <w:jc w:val="left"/>
              <w:rPr/>
            </w:pPr>
            <w:r>
              <w:rPr/>
              <w:t> </w:t>
            </w:r>
          </w:p>
        </w:tc>
      </w:tr>
      <w:tr>
        <w:trPr/>
        <w:tc>
          <w:tcPr>
            <w:tcW w:w="286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PSUs outstanding, end of year</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931,716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balance of shares granted includes 157,963 additional shares, at a weighted average grant date fair value per share of $16.92, as PSUs granted in 2020 with Adjusted EBITDA targets vested at 175% on account of full achievement of the targets.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Forfeited PSUs include the TSR awards issued in 2020 which did not vest as the market condition was not satisfied. The Company recorded an expense of $1.5 million associated with these 104,633 shares that were not adjusted at the time of forfeiture.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Outstanding PSUs include the TSR awards issued in 2021 which are not anticipated to vest. The Company recorded an expense of $1.5 million associated with these 68,850 shares that will not be adjusted at the time of forfeiture.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maximum number of shares of common stock that may be issued with respect to PSUs outstanding is 1,591,329, assuming full achievement of the Adjusted EBITDA and TSR targets.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China Long-Term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stock option (“China Option”), RSU, or PSU issued under the China LTIP represents an opportunity to participate economically in the future growth and value creation of IMAX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years ended December 31, 2023, 2022, and 2021, share-based compensation expense related to China Options, China RSUs and China PSUs was as follows: </w:t>
      </w:r>
    </w:p>
    <w:p>
      <w:pPr>
        <w:pStyle w:val="TextBody"/>
        <w:bidi w:val="0"/>
        <w:jc w:val="both"/>
        <w:rPr/>
      </w:pPr>
      <w:r>
        <w:rPr/>
        <w:t> </w:t>
      </w:r>
    </w:p>
    <w:tbl>
      <w:tblPr>
        <w:tblW w:w="6026" w:type="dxa"/>
        <w:jc w:val="left"/>
        <w:tblInd w:w="0" w:type="dxa"/>
        <w:tblLayout w:type="fixed"/>
        <w:tblCellMar>
          <w:top w:w="28" w:type="dxa"/>
          <w:left w:w="28" w:type="dxa"/>
          <w:bottom w:w="28" w:type="dxa"/>
          <w:right w:w="28" w:type="dxa"/>
        </w:tblCellMar>
      </w:tblPr>
      <w:tblGrid>
        <w:gridCol w:w="2221"/>
        <w:gridCol w:w="146"/>
        <w:gridCol w:w="211"/>
        <w:gridCol w:w="146"/>
        <w:gridCol w:w="571"/>
        <w:gridCol w:w="146"/>
        <w:gridCol w:w="146"/>
        <w:gridCol w:w="211"/>
        <w:gridCol w:w="146"/>
        <w:gridCol w:w="571"/>
        <w:gridCol w:w="146"/>
        <w:gridCol w:w="146"/>
        <w:gridCol w:w="211"/>
        <w:gridCol w:w="146"/>
        <w:gridCol w:w="57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8"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2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China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China RSUs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China PSUs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2022, IMAX China modified the terms of certain fully vested stock options to extend their contractual life by one year and recorded an associated expense of $0.1 million (2021 ― $0.1 million). No such charges were incurred in 2023.</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2017, the Company announced that the Board of Directors approved a $200.0 million share repurchase program for its common shares that would have initially expired on June 30, 2020, which was subsequently extended and increased in the total share repurchase authority to $400.0 million. In 2023, the Company’s Board of Directors approved a 36-month extension to its share repurchase program through June 30, 2026. As of December 31, 2023, the Company has $167.0 million authorized for repurchase under its approved repurchase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In 2023, the Company repurchased 1,604,420 (2022 ― 5,401,852) common shares at an average price of $16.45 per share (2022 ― $15.19 per share), for a total of $26.4 million (2022 ― $82.0 million), excluding commissions, of which 108,393 were common shares (2022 ― 140,000) where settlement occurred subsequent to December 31, 2023, at an average price of $14.98 per share for a total of $1.6 million, excluding commissions.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Company’s share repurchases during the years ended December 31, 2023 and 2022:</w:t>
      </w:r>
    </w:p>
    <w:tbl>
      <w:tblPr>
        <w:tblW w:w="8263" w:type="dxa"/>
        <w:jc w:val="left"/>
        <w:tblInd w:w="0" w:type="dxa"/>
        <w:tblLayout w:type="fixed"/>
        <w:tblCellMar>
          <w:top w:w="28" w:type="dxa"/>
          <w:left w:w="28" w:type="dxa"/>
          <w:bottom w:w="28" w:type="dxa"/>
          <w:right w:w="28" w:type="dxa"/>
        </w:tblCellMar>
      </w:tblPr>
      <w:tblGrid>
        <w:gridCol w:w="2536"/>
        <w:gridCol w:w="146"/>
        <w:gridCol w:w="168"/>
        <w:gridCol w:w="1073"/>
        <w:gridCol w:w="168"/>
        <w:gridCol w:w="168"/>
        <w:gridCol w:w="168"/>
        <w:gridCol w:w="1073"/>
        <w:gridCol w:w="146"/>
        <w:gridCol w:w="146"/>
        <w:gridCol w:w="224"/>
        <w:gridCol w:w="155"/>
        <w:gridCol w:w="606"/>
        <w:gridCol w:w="155"/>
        <w:gridCol w:w="155"/>
        <w:gridCol w:w="224"/>
        <w:gridCol w:w="155"/>
        <w:gridCol w:w="60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Repurchased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of U.S. Dollars)</w:t>
            </w:r>
          </w:p>
        </w:tc>
        <w:tc>
          <w:tcPr>
            <w:tcW w:w="146" w:type="dxa"/>
            <w:tcBorders/>
            <w:shd w:fill="FFFFFF" w:val="cle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0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1,604,420</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years ended December 31, 2023 and 2022, there were no shares purchases in the administration of employee share based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IMAX LTIP trustee held nil shares. Any shares held with the trustee are recorded at cost and are reported as a reduction against Capital Stock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2022, IMAX China’s shareholders granted its Board of Directors (“IMAX China Board”) a general mandate authorizing the IMAX China Board, subject to applicable laws, to repurchase shares of IMAX China not to exceed 10% of the total number of issued shares as of June 23, 2022 (34,063,480 shares). This program expired on the date of the 2023 Annual General Meeting of IMAX China on June 7, 2023. During the 2023 Annual General Meeting, shareholders approved the repurchase of shares of IMAX China not to exceed 10% of the total number of shares as of June 7,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2023, IMAX China repurchased 16,800 (2022 ― 2,961,800) common shares at an average price of HKD 7.11 per share (U.S. $0.91 per share) for a total of HKD 0.1 million or less than U.S. $0.1 million (2022 ― HKD 8.0 per share or U.S. $1.02 per share, for a total of HKD 23.7 million or U.S. $3.0 million). The change in non-controlling interest as a result of common shares repurchased by IMAX China is recorded within Non-Controlling Interest in the Consolidated Balance Sheets and the Consolidated Statements of Shareholders’ Equity. The difference between the consideration paid and the ownership interest obtained as a result of IMAX China share repurchases is recorded within Other Equity in the Consolidated Balance Sheets and the Consolidated Statements of Shareholders’ Equity (see Note 2(a)).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IMAX China’s share repurchases during the years ended December 31, 2023 and 2022:</w:t>
      </w:r>
    </w:p>
    <w:tbl>
      <w:tblPr>
        <w:tblW w:w="8257" w:type="dxa"/>
        <w:jc w:val="left"/>
        <w:tblInd w:w="0" w:type="dxa"/>
        <w:tblLayout w:type="fixed"/>
        <w:tblCellMar>
          <w:top w:w="28" w:type="dxa"/>
          <w:left w:w="28" w:type="dxa"/>
          <w:bottom w:w="28" w:type="dxa"/>
          <w:right w:w="28" w:type="dxa"/>
        </w:tblCellMar>
      </w:tblPr>
      <w:tblGrid>
        <w:gridCol w:w="2536"/>
        <w:gridCol w:w="146"/>
        <w:gridCol w:w="187"/>
        <w:gridCol w:w="870"/>
        <w:gridCol w:w="187"/>
        <w:gridCol w:w="187"/>
        <w:gridCol w:w="187"/>
        <w:gridCol w:w="1198"/>
        <w:gridCol w:w="146"/>
        <w:gridCol w:w="146"/>
        <w:gridCol w:w="248"/>
        <w:gridCol w:w="171"/>
        <w:gridCol w:w="548"/>
        <w:gridCol w:w="171"/>
        <w:gridCol w:w="171"/>
        <w:gridCol w:w="248"/>
        <w:gridCol w:w="171"/>
        <w:gridCol w:w="548"/>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Repurchased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Basic and Diluted Weighted Average Shares Outstanding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reconciles the denominator of the basic and diluted weighted average share computations:</w:t>
      </w:r>
    </w:p>
    <w:p>
      <w:pPr>
        <w:pStyle w:val="TextBody"/>
        <w:bidi w:val="0"/>
        <w:jc w:val="both"/>
        <w:rPr/>
      </w:pPr>
      <w:r>
        <w:rPr/>
        <w:t> </w:t>
      </w:r>
    </w:p>
    <w:tbl>
      <w:tblPr>
        <w:tblW w:w="9411" w:type="dxa"/>
        <w:jc w:val="left"/>
        <w:tblInd w:w="0" w:type="dxa"/>
        <w:tblLayout w:type="fixed"/>
        <w:tblCellMar>
          <w:top w:w="28" w:type="dxa"/>
          <w:left w:w="28" w:type="dxa"/>
          <w:bottom w:w="28" w:type="dxa"/>
          <w:right w:w="28" w:type="dxa"/>
        </w:tblCellMar>
      </w:tblPr>
      <w:tblGrid>
        <w:gridCol w:w="5566"/>
        <w:gridCol w:w="146"/>
        <w:gridCol w:w="146"/>
        <w:gridCol w:w="146"/>
        <w:gridCol w:w="676"/>
        <w:gridCol w:w="146"/>
        <w:gridCol w:w="146"/>
        <w:gridCol w:w="146"/>
        <w:gridCol w:w="146"/>
        <w:gridCol w:w="676"/>
        <w:gridCol w:w="166"/>
        <w:gridCol w:w="146"/>
        <w:gridCol w:w="146"/>
        <w:gridCol w:w="146"/>
        <w:gridCol w:w="676"/>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outstanding, beginning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58,921</w:t>
            </w:r>
          </w:p>
        </w:tc>
        <w:tc>
          <w:tcPr>
            <w:tcW w:w="1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issued (repurchased) ,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 and diluted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effect of potential common shares, if dilutive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2023, the calculation of diluted earnings per share excludes 3,380,142 (2022 ― 4,523,121; 2021 ― 6,131,792) shares that are issuable upon the vesting of 18,877 RSUs (2022 ― 637,120; 2021 ― 1,457,883), the vesting of 31,843 PSUs (2022 ― 281,262; 2021 ― 937,752), and the exercise of 3,329,422 stock options (2022 ― 3,604,739; 2021 ― 3,736,157 ), as the effect would be anti-dilutive.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diluted weighted average shares outstanding for the year ended December 31, 2023 also excludes any shares potentially issuable upon the conversion of the Convertible Notes as the average market price of the Company’s common shares during the period of time they were outstanding was less than the conversion price of the Convertible Notes. (Refer to Note 14(b).)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Statutory Surplus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corporate law of the PRC, entities registered in the PRC are required to maintain certain statutory reserves, which are appropriated from after-tax profits, after offsetting accumulated losses from prior years, before dividends can be declared or paid to equity holders.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PRC subsidiaries are required to appropriate 10% of statutory net profits to statutory surplus reserves, upon distribution of their after-tax profits. The Company’s PRC subsidiaries may discontinue the contribution when the when the aggregate sum of the statutory surplus reserve is more than 50% of their registered capital. </w:t>
      </w:r>
      <w:r>
        <w:rPr>
          <w:rFonts w:ascii="Times New Roman" w:hAnsi="Times New Roman"/>
          <w:color w:val="333333"/>
          <w:sz w:val="20"/>
        </w:rPr>
        <w:t xml:space="preserve">The statutory surplus reserve is non-distributable other than during liquidation and may </w:t>
      </w:r>
      <w:r>
        <w:rPr>
          <w:rFonts w:ascii="Times New Roman" w:hAnsi="Times New Roman"/>
          <w:color w:val="000000"/>
          <w:sz w:val="20"/>
        </w:rPr>
        <w:t xml:space="preserve">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statutory surplus reserve of RMB 36.4 million ($5.6 million) has reached 50% of its PRC subsidiaries’ registered capital, as such no further contributions to the reserve are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Consolidated Statements of Operations Supplemental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Selling Expenses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Company’s selling expenses, including sales commissions and marketing and other, which are recognized within Costs and Expenses Applicable to Revenues in the Consolidated Statements of Operations,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1884"/>
        <w:gridCol w:w="235"/>
        <w:gridCol w:w="162"/>
        <w:gridCol w:w="639"/>
        <w:gridCol w:w="146"/>
        <w:gridCol w:w="146"/>
        <w:gridCol w:w="242"/>
        <w:gridCol w:w="167"/>
        <w:gridCol w:w="776"/>
        <w:gridCol w:w="146"/>
        <w:gridCol w:w="146"/>
        <w:gridCol w:w="280"/>
        <w:gridCol w:w="194"/>
        <w:gridCol w:w="562"/>
        <w:gridCol w:w="146"/>
        <w:gridCol w:w="146"/>
        <w:gridCol w:w="242"/>
        <w:gridCol w:w="167"/>
        <w:gridCol w:w="776"/>
        <w:gridCol w:w="146"/>
        <w:gridCol w:w="146"/>
        <w:gridCol w:w="235"/>
        <w:gridCol w:w="162"/>
        <w:gridCol w:w="639"/>
        <w:gridCol w:w="146"/>
        <w:gridCol w:w="146"/>
        <w:gridCol w:w="242"/>
        <w:gridCol w:w="167"/>
        <w:gridCol w:w="776"/>
        <w:gridCol w:w="198"/>
      </w:tblGrid>
      <w:tr>
        <w:trPr/>
        <w:tc>
          <w:tcPr>
            <w:tcW w:w="18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vAlign w:val="center"/>
          </w:tcPr>
          <w:p>
            <w:pPr>
              <w:pStyle w:val="TableContents"/>
              <w:bidi w:val="0"/>
              <w:spacing w:before="0" w:after="283"/>
              <w:jc w:val="left"/>
              <w:rPr/>
            </w:pPr>
            <w:r>
              <w:rPr/>
              <w:t> </w:t>
            </w:r>
          </w:p>
        </w:tc>
        <w:tc>
          <w:tcPr>
            <w:tcW w:w="8123" w:type="dxa"/>
            <w:gridSpan w:val="2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left"/>
              <w:rPr/>
            </w:pPr>
            <w:r>
              <w:rPr/>
              <w:t> </w:t>
            </w:r>
          </w:p>
        </w:tc>
        <w:tc>
          <w:tcPr>
            <w:tcW w:w="2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Sales </w:t>
              <w:b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Marketing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Sales </w:t>
              <w:b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Marketing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Sales </w:t>
              <w:b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Marketing and Other</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Technology sales</w:t>
            </w:r>
            <w:r>
              <w:rPr>
                <w:rFonts w:ascii="Times New Roman" w:hAnsi="Times New Roman"/>
                <w:color w:val="000000"/>
                <w:sz w:val="12"/>
              </w:rPr>
              <w:t>(1)</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98" w:type="dxa"/>
            <w:tcBorders/>
            <w:shd w:fill="CFF0FC" w:val="clear"/>
            <w:vAlign w:val="center"/>
          </w:tcPr>
          <w:p>
            <w:pPr>
              <w:pStyle w:val="TableContents"/>
              <w:bidi w:val="0"/>
              <w:spacing w:before="0" w:after="283"/>
              <w:jc w:val="left"/>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Image enhancement and maintenance services</w:t>
            </w:r>
            <w:r>
              <w:rPr>
                <w:rFonts w:ascii="Times New Roman" w:hAnsi="Times New Roman"/>
                <w:color w:val="000000"/>
                <w:sz w:val="12"/>
              </w:rPr>
              <w:t>(2)</w:t>
            </w:r>
          </w:p>
        </w:tc>
        <w:tc>
          <w:tcPr>
            <w:tcW w:w="23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98" w:type="dxa"/>
            <w:tcBorders/>
            <w:shd w:fill="FFFFFF" w:val="clear"/>
            <w:vAlign w:val="center"/>
          </w:tcPr>
          <w:p>
            <w:pPr>
              <w:pStyle w:val="TableContents"/>
              <w:bidi w:val="0"/>
              <w:spacing w:before="0" w:after="283"/>
              <w:jc w:val="left"/>
              <w:rPr/>
            </w:pPr>
            <w:r>
              <w:rPr/>
              <w:t> </w:t>
            </w:r>
          </w:p>
        </w:tc>
      </w:tr>
      <w:tr>
        <w:trPr/>
        <w:tc>
          <w:tcPr>
            <w:tcW w:w="18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Technology rentals</w:t>
            </w:r>
            <w:r>
              <w:rPr>
                <w:rFonts w:ascii="Times New Roman" w:hAnsi="Times New Roman"/>
                <w:color w:val="000000"/>
                <w:sz w:val="12"/>
              </w:rPr>
              <w:t>(3)</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8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commissions paid prior to the recognition of the related revenue are deferred and recognized upon the client acceptance of the IMAX System. Direct advertising and marketing costs for each IMAX System are expensed as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Film exploitation costs, including advertising and marketing costs are expensed as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Exchange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Selling, General and Administrative Expenses for the year ended December 31, 2023 is a foreign currency net loss of $0.7 million resulting from changes in exchange rates related to foreign currency denominated monetary assets and liabilities, primarily due to the slower pace of RMB weakening against the U.S. Dollar throughout 2023, as compared to a net loss of $3.2 million and a net gain of $1.3 million for the years ended December 31, 2022 and 2021, respectively. Refer to Note 22(c) for additional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Collaborative Arrangements</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Joint Revenue Sharing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Refer to Note 6 for a description of the material terms of the Company’s collaborative joint revenue sharing arrangements. The accounting policy for the Company’s joint revenue sharing arrangements is disclosed in Note 2(o).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year ended December 31, 2023, such revenues totaled $78.2 million (2022 — $66.6 million; 2021 — $51.6 million). (Refer to Note 20(a) for a disaggregated presentation of the Company’s revenues.)</w:t>
      </w:r>
    </w:p>
    <w:p>
      <w:pPr>
        <w:pStyle w:val="TextBody"/>
        <w:bidi w:val="0"/>
        <w:spacing w:before="200" w:after="200"/>
        <w:jc w:val="both"/>
        <w:rPr>
          <w:rFonts w:ascii="Times New Roman" w:hAnsi="Times New Roman"/>
          <w:sz w:val="20"/>
        </w:rPr>
      </w:pPr>
      <w:r>
        <w:rPr>
          <w:rFonts w:ascii="Times New Roman" w:hAnsi="Times New Roman"/>
          <w:i/>
          <w:color w:val="000000"/>
          <w:sz w:val="20"/>
        </w:rPr>
        <w:t>Film Remastering and Distribution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film remastering and distribution arrangement, the Company receives a percentage of the box office receipts from a third party who owns the copyright to a film in exchange for converting the film into IMAX format and distributing it through the IMAX network. The fee earned by the Company in a typical film remastering and distribution arrangement averages approximately 12.5% of box office receipts (i.e., gross box office receipts less applicable sales taxes), except for within Greater China, where the Company receives a lower percentage of net box office receipts for certain Hollywood films. The accounting policy for the Company’s film remastering and distribution arrangements is disclosed in Note 2(o).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attributable to transactions arising between the Company and its customers under the Company’s film remastering and distribution arrangements are included in Revenues – Image Enhancement and Maintenance Services. For the year ended December 31, 2023, such revenues totaled $118.6 million (2022 — $94.9 million; 2021 — $70.7 million). (Refer to Note 20(a) for a disaggregated presentation of the Company’s revenues.)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Co-Produced Film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Company is party to one co-produced film arrangement, which represents the VIE total assets balance of $1.4 million and liabilities balance of $0.2 million and four other co-produced film arrangements, the terms of which are similar. The accounting policies relating to co-produced film arrangements are disclosed in Notes 2(a) and 2(o).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an expense of $0.6 million (2022 — $0.8 million; 2021 — $0.4 million) attributable to transactions between the Company and other parties involved in the production of the films have been included in Costs and Expenses Applicable to Revenues – Image Enhancement and Maintenance Services.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19. Consolidated Statements of Cash Flows Supplemental Information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 xml:space="preserve">Changes in other operating assets and liabilities </w:t>
      </w:r>
    </w:p>
    <w:p>
      <w:pPr>
        <w:pStyle w:val="TextBody"/>
        <w:bidi w:val="0"/>
        <w:jc w:val="both"/>
        <w:rPr/>
      </w:pPr>
      <w:r>
        <w:rPr/>
        <w:t> </w:t>
      </w:r>
    </w:p>
    <w:tbl>
      <w:tblPr>
        <w:tblW w:w="7380" w:type="dxa"/>
        <w:jc w:val="left"/>
        <w:tblInd w:w="0" w:type="dxa"/>
        <w:tblLayout w:type="fixed"/>
        <w:tblCellMar>
          <w:top w:w="28" w:type="dxa"/>
          <w:left w:w="28" w:type="dxa"/>
          <w:bottom w:w="28" w:type="dxa"/>
          <w:right w:w="28" w:type="dxa"/>
        </w:tblCellMar>
      </w:tblPr>
      <w:tblGrid>
        <w:gridCol w:w="3126"/>
        <w:gridCol w:w="211"/>
        <w:gridCol w:w="146"/>
        <w:gridCol w:w="736"/>
        <w:gridCol w:w="166"/>
        <w:gridCol w:w="146"/>
        <w:gridCol w:w="211"/>
        <w:gridCol w:w="146"/>
        <w:gridCol w:w="736"/>
        <w:gridCol w:w="166"/>
        <w:gridCol w:w="146"/>
        <w:gridCol w:w="211"/>
        <w:gridCol w:w="146"/>
        <w:gridCol w:w="676"/>
        <w:gridCol w:w="411"/>
      </w:tblGrid>
      <w:tr>
        <w:trPr/>
        <w:tc>
          <w:tcPr>
            <w:tcW w:w="3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26" w:type="dxa"/>
            <w:tcBorders/>
            <w:shd w:fill="FFFFFF" w:val="clear"/>
            <w:vAlign w:val="center"/>
          </w:tcPr>
          <w:p>
            <w:pPr>
              <w:pStyle w:val="TableContents"/>
              <w:bidi w:val="0"/>
              <w:spacing w:before="0" w:after="283"/>
              <w:jc w:val="left"/>
              <w:rPr/>
            </w:pPr>
            <w:r>
              <w:rPr/>
              <w:t> </w:t>
            </w:r>
          </w:p>
        </w:tc>
        <w:tc>
          <w:tcPr>
            <w:tcW w:w="384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w:t>
            </w:r>
          </w:p>
        </w:tc>
        <w:tc>
          <w:tcPr>
            <w:tcW w:w="211"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receivables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consideration receivables</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411" w:type="dxa"/>
            <w:tcBorders/>
            <w:shd w:fill="CFF0FC" w:val="clear"/>
            <w:vAlign w:val="center"/>
          </w:tcPr>
          <w:p>
            <w:pPr>
              <w:pStyle w:val="TableContents"/>
              <w:bidi w:val="0"/>
              <w:spacing w:before="0" w:after="283"/>
              <w:jc w:val="left"/>
              <w:rPr/>
            </w:pPr>
            <w:r>
              <w:rPr/>
              <w:t> </w:t>
            </w:r>
          </w:p>
        </w:tc>
      </w:tr>
      <w:tr>
        <w:trPr/>
        <w:tc>
          <w:tcPr>
            <w:tcW w:w="3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w:t>
            </w:r>
          </w:p>
        </w:tc>
        <w:tc>
          <w:tcPr>
            <w:tcW w:w="211"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15,167</w:t>
            </w:r>
          </w:p>
        </w:tc>
        <w:tc>
          <w:tcPr>
            <w:tcW w:w="411" w:type="dxa"/>
            <w:tcBorders/>
            <w:shd w:fill="FFFFFF" w:val="clear"/>
            <w:vAlign w:val="center"/>
          </w:tcPr>
          <w:p>
            <w:pPr>
              <w:pStyle w:val="TableContents"/>
              <w:bidi w:val="0"/>
              <w:spacing w:before="0" w:after="283"/>
              <w:jc w:val="left"/>
              <w:rPr/>
            </w:pPr>
            <w:r>
              <w:rPr/>
              <w:t> </w:t>
            </w:r>
          </w:p>
        </w:tc>
      </w:tr>
      <w:tr>
        <w:trPr/>
        <w:tc>
          <w:tcPr>
            <w:tcW w:w="312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b/>
          <w:i/>
          <w:color w:val="000000"/>
          <w:sz w:val="20"/>
        </w:rPr>
      </w:pPr>
      <w:r>
        <w:rPr>
          <w:rFonts w:ascii="Times New Roman" w:hAnsi="Times New Roman"/>
          <w:b/>
          <w:i/>
          <w:color w:val="000000"/>
          <w:sz w:val="20"/>
        </w:rPr>
        <w:t>Cash payments made on account</w:t>
      </w:r>
    </w:p>
    <w:p>
      <w:pPr>
        <w:pStyle w:val="TextBody"/>
        <w:bidi w:val="0"/>
        <w:jc w:val="both"/>
        <w:rPr/>
      </w:pPr>
      <w:r>
        <w:rPr/>
        <w:t> </w:t>
      </w:r>
    </w:p>
    <w:tbl>
      <w:tblPr>
        <w:tblW w:w="6410" w:type="dxa"/>
        <w:jc w:val="left"/>
        <w:tblInd w:w="0" w:type="dxa"/>
        <w:tblLayout w:type="fixed"/>
        <w:tblCellMar>
          <w:top w:w="28" w:type="dxa"/>
          <w:left w:w="28" w:type="dxa"/>
          <w:bottom w:w="28" w:type="dxa"/>
          <w:right w:w="28" w:type="dxa"/>
        </w:tblCellMar>
      </w:tblPr>
      <w:tblGrid>
        <w:gridCol w:w="2536"/>
        <w:gridCol w:w="211"/>
        <w:gridCol w:w="146"/>
        <w:gridCol w:w="676"/>
        <w:gridCol w:w="146"/>
        <w:gridCol w:w="146"/>
        <w:gridCol w:w="211"/>
        <w:gridCol w:w="146"/>
        <w:gridCol w:w="676"/>
        <w:gridCol w:w="146"/>
        <w:gridCol w:w="146"/>
        <w:gridCol w:w="211"/>
        <w:gridCol w:w="146"/>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368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of U.S. 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taxes</w:t>
            </w:r>
            <w:r>
              <w:rPr>
                <w:rFonts w:ascii="Times New Roman" w:hAnsi="Times New Roman"/>
                <w:color w:val="000000"/>
                <w:sz w:val="13"/>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2021, the Canadian tax authorities denied the Company’s deduction of certain foreign taxes accrued in 2015, but not yet paid as discussions with the local authorities are ongoing. This resulted in the payment of $8.9 million in income taxes and $1.6 million in associated interest to the Canadian tax authorities in the fourth quarter of 2021. The Company has filed a waiver with the Canadian tax authorities in respect of 2015 so that when the foreign taxes are paid, the Company would be entitled to receive a refund of the $8.9 million in tax, which is recorded on the Company’s Consolidated Balance Sheets within Accounts Receivable, and the $1.6 million in associated interest.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 xml:space="preserve">Depreciation and amortization </w:t>
      </w:r>
    </w:p>
    <w:tbl>
      <w:tblPr>
        <w:tblW w:w="9266" w:type="dxa"/>
        <w:jc w:val="left"/>
        <w:tblInd w:w="0" w:type="dxa"/>
        <w:tblLayout w:type="fixed"/>
        <w:tblCellMar>
          <w:top w:w="28" w:type="dxa"/>
          <w:left w:w="28" w:type="dxa"/>
          <w:bottom w:w="28" w:type="dxa"/>
          <w:right w:w="28" w:type="dxa"/>
        </w:tblCellMar>
      </w:tblPr>
      <w:tblGrid>
        <w:gridCol w:w="5046"/>
        <w:gridCol w:w="146"/>
        <w:gridCol w:w="211"/>
        <w:gridCol w:w="146"/>
        <w:gridCol w:w="676"/>
        <w:gridCol w:w="146"/>
        <w:gridCol w:w="146"/>
        <w:gridCol w:w="211"/>
        <w:gridCol w:w="146"/>
        <w:gridCol w:w="676"/>
        <w:gridCol w:w="146"/>
        <w:gridCol w:w="146"/>
        <w:gridCol w:w="211"/>
        <w:gridCol w:w="146"/>
        <w:gridCol w:w="676"/>
        <w:gridCol w:w="39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 assets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w:t>
            </w:r>
          </w:p>
        </w:tc>
        <w:tc>
          <w:tcPr>
            <w:tcW w:w="391" w:type="dxa"/>
            <w:tcBorders/>
            <w:shd w:fill="CFF0FC" w:val="clear"/>
            <w:vAlign w:val="center"/>
          </w:tcPr>
          <w:p>
            <w:pPr>
              <w:pStyle w:val="TableContents"/>
              <w:bidi w:val="0"/>
              <w:spacing w:before="0" w:after="283"/>
              <w:jc w:val="left"/>
              <w:rPr/>
            </w:pPr>
            <w:r>
              <w:rPr/>
              <w:t> </w:t>
            </w:r>
          </w:p>
        </w:tc>
      </w:tr>
      <w:tr>
        <w:trPr/>
        <w:tc>
          <w:tcPr>
            <w:tcW w:w="5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supporting joint revenue sharing arrangements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Other property, plant and equipment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w:t>
            </w:r>
          </w:p>
        </w:tc>
        <w:tc>
          <w:tcPr>
            <w:tcW w:w="391" w:type="dxa"/>
            <w:tcBorders/>
            <w:shd w:fill="FFFFFF" w:val="clear"/>
            <w:vAlign w:val="center"/>
          </w:tcPr>
          <w:p>
            <w:pPr>
              <w:pStyle w:val="TableContents"/>
              <w:bidi w:val="0"/>
              <w:spacing w:before="0" w:after="283"/>
              <w:jc w:val="left"/>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intangible assets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w:t>
            </w:r>
          </w:p>
        </w:tc>
        <w:tc>
          <w:tcPr>
            <w:tcW w:w="391" w:type="dxa"/>
            <w:tcBorders/>
            <w:shd w:fill="CFF0FC" w:val="clear"/>
            <w:vAlign w:val="center"/>
          </w:tcPr>
          <w:p>
            <w:pPr>
              <w:pStyle w:val="TableContents"/>
              <w:bidi w:val="0"/>
              <w:spacing w:before="0" w:after="283"/>
              <w:jc w:val="left"/>
              <w:rPr/>
            </w:pPr>
            <w:r>
              <w:rPr/>
              <w:t> </w:t>
            </w:r>
          </w:p>
        </w:tc>
      </w:tr>
      <w:tr>
        <w:trPr/>
        <w:tc>
          <w:tcPr>
            <w:tcW w:w="50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assets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391" w:type="dxa"/>
            <w:tcBorders/>
            <w:shd w:fill="FFFFFF" w:val="clear"/>
            <w:vAlign w:val="center"/>
          </w:tcPr>
          <w:p>
            <w:pPr>
              <w:pStyle w:val="TableContents"/>
              <w:bidi w:val="0"/>
              <w:spacing w:before="0" w:after="283"/>
              <w:jc w:val="left"/>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56,082</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the amortization of laser projection systems, camera, and lens upgrades recorded in Research and Development on the Statements of Operations of $0.5 million in the year ended December 31, 2023 (2022 — $0.6 million; 2021 — $0.8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Includes the amortization of licenses and intellectual property recorded in Research and Development on the Consolidated Statements of Operations of $1.3 million in the year ended December 31, 2023 (2022 — $1.3 million; 2021 — $1.3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the amortization of lessee incentives provided by the Company to its customers under joint revenue sharing arrangements.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Write-downs, including asset impairments</w:t>
      </w:r>
    </w:p>
    <w:tbl>
      <w:tblPr>
        <w:tblW w:w="8770" w:type="dxa"/>
        <w:jc w:val="left"/>
        <w:tblInd w:w="0" w:type="dxa"/>
        <w:tblLayout w:type="fixed"/>
        <w:tblCellMar>
          <w:top w:w="28" w:type="dxa"/>
          <w:left w:w="28" w:type="dxa"/>
          <w:bottom w:w="28" w:type="dxa"/>
          <w:right w:w="28" w:type="dxa"/>
        </w:tblCellMar>
      </w:tblPr>
      <w:tblGrid>
        <w:gridCol w:w="5111"/>
        <w:gridCol w:w="211"/>
        <w:gridCol w:w="146"/>
        <w:gridCol w:w="571"/>
        <w:gridCol w:w="146"/>
        <w:gridCol w:w="146"/>
        <w:gridCol w:w="211"/>
        <w:gridCol w:w="146"/>
        <w:gridCol w:w="571"/>
        <w:gridCol w:w="146"/>
        <w:gridCol w:w="146"/>
        <w:gridCol w:w="211"/>
        <w:gridCol w:w="146"/>
        <w:gridCol w:w="571"/>
        <w:gridCol w:w="291"/>
      </w:tblGrid>
      <w:tr>
        <w:trPr/>
        <w:tc>
          <w:tcPr>
            <w:tcW w:w="5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11" w:type="dxa"/>
            <w:tcBorders/>
            <w:shd w:fill="FFFFFF" w:val="clear"/>
            <w:vAlign w:val="center"/>
          </w:tcPr>
          <w:p>
            <w:pPr>
              <w:pStyle w:val="TableContents"/>
              <w:bidi w:val="0"/>
              <w:spacing w:before="0" w:after="283"/>
              <w:jc w:val="left"/>
              <w:rPr/>
            </w:pPr>
            <w:r>
              <w:rPr/>
              <w:t> </w:t>
            </w:r>
          </w:p>
        </w:tc>
        <w:tc>
          <w:tcPr>
            <w:tcW w:w="336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assets</w:t>
            </w:r>
            <w:r>
              <w:rPr>
                <w:rFonts w:ascii="Times New Roman" w:hAnsi="Times New Roman"/>
                <w:color w:val="000000"/>
                <w:sz w:val="13"/>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Inventories</w:t>
            </w:r>
            <w:r>
              <w:rPr>
                <w:rFonts w:ascii="Times New Roman" w:hAnsi="Times New Roman"/>
                <w:color w:val="000000"/>
                <w:sz w:val="13"/>
              </w:rPr>
              <w:t>(2)</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91" w:type="dxa"/>
            <w:tcBorders/>
            <w:shd w:fill="FFFFFF" w:val="clear"/>
            <w:vAlign w:val="center"/>
          </w:tcPr>
          <w:p>
            <w:pPr>
              <w:pStyle w:val="TableContents"/>
              <w:bidi w:val="0"/>
              <w:spacing w:before="0" w:after="283"/>
              <w:jc w:val="left"/>
              <w:rPr/>
            </w:pPr>
            <w:r>
              <w:rPr/>
              <w:t> </w:t>
            </w:r>
          </w:p>
        </w:tc>
      </w:tr>
      <w:tr>
        <w:trPr/>
        <w:tc>
          <w:tcPr>
            <w:tcW w:w="5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11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Equipment supporting joint revenue sharing arrangements</w:t>
            </w:r>
            <w:r>
              <w:rPr>
                <w:rFonts w:ascii="Times New Roman" w:hAnsi="Times New Roman"/>
                <w:color w:val="000000"/>
                <w:sz w:val="13"/>
              </w:rPr>
              <w:t>(3)</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property, plant and equipment</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CFF0FC"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91" w:type="dxa"/>
            <w:tcBorders/>
            <w:shd w:fill="FFFFFF" w:val="clear"/>
            <w:vAlign w:val="center"/>
          </w:tcPr>
          <w:p>
            <w:pPr>
              <w:pStyle w:val="TableContents"/>
              <w:bidi w:val="0"/>
              <w:spacing w:before="0" w:after="283"/>
              <w:jc w:val="left"/>
              <w:rPr/>
            </w:pPr>
            <w:r>
              <w:rPr/>
              <w:t> </w:t>
            </w:r>
          </w:p>
        </w:tc>
      </w:tr>
      <w:tr>
        <w:trPr/>
        <w:tc>
          <w:tcPr>
            <w:tcW w:w="5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Film assets</w:t>
            </w:r>
            <w:r>
              <w:rPr>
                <w:rFonts w:ascii="Times New Roman" w:hAnsi="Times New Roman"/>
                <w:color w:val="000000"/>
                <w:sz w:val="13"/>
              </w:rPr>
              <w:t>(4)</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2022, the Company recognized a full impairment of its RMB 30.0 million ($4.5 million) investment in the film Mozart from Space based on projected box office results and distribution costs. (Refer to Note 22(e).)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recorded write-downs of $0.5 million, net of a recovery of $0.4 million in Costs and Expenses Applicable to Technology Sales. The write-downs recorded during the year ended December 31, 2023 include $0.5 million related to damaged system pending insurance claim. For the years ended December 31, 2022 and 2021, the Company recorded write-downs of $0.7 million and $0.9 million, respectively, in Costs and Expenses Applicable to Technology Sales to reduce the carrying value of inventory.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recorded charges of $0.8 million (2022 — $1.0 million; 2021 — $0.4 million) in Costs and Expenses Applicable to Revenues - Technology Rentals mostly related to the write-downs of leased xenon-based digital systems which were taken out of service in connection with customer upgrades to laser-based digital systems, as well as two IMAX Systems that were removed from their existing locations.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the Company recorded impairment losses of $0.4 million (2022 — $0.8 million; 2021 — $0.2 million) related to the write-down of content-related film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 xml:space="preserve">Significant non-cash investing activities </w:t>
      </w:r>
    </w:p>
    <w:tbl>
      <w:tblPr>
        <w:tblW w:w="10030" w:type="dxa"/>
        <w:jc w:val="left"/>
        <w:tblInd w:w="0" w:type="dxa"/>
        <w:tblLayout w:type="fixed"/>
        <w:tblCellMar>
          <w:top w:w="28" w:type="dxa"/>
          <w:left w:w="28" w:type="dxa"/>
          <w:bottom w:w="28" w:type="dxa"/>
          <w:right w:w="28" w:type="dxa"/>
        </w:tblCellMar>
      </w:tblPr>
      <w:tblGrid>
        <w:gridCol w:w="6171"/>
        <w:gridCol w:w="211"/>
        <w:gridCol w:w="146"/>
        <w:gridCol w:w="631"/>
        <w:gridCol w:w="166"/>
        <w:gridCol w:w="146"/>
        <w:gridCol w:w="211"/>
        <w:gridCol w:w="146"/>
        <w:gridCol w:w="571"/>
        <w:gridCol w:w="146"/>
        <w:gridCol w:w="146"/>
        <w:gridCol w:w="211"/>
        <w:gridCol w:w="146"/>
        <w:gridCol w:w="571"/>
        <w:gridCol w:w="411"/>
      </w:tblGrid>
      <w:tr>
        <w:trPr/>
        <w:tc>
          <w:tcPr>
            <w:tcW w:w="6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left"/>
              <w:rPr/>
            </w:pPr>
            <w:r>
              <w:rPr/>
              <w:t> </w:t>
            </w:r>
          </w:p>
        </w:tc>
        <w:tc>
          <w:tcPr>
            <w:tcW w:w="344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accruals related to:</w:t>
            </w:r>
          </w:p>
        </w:tc>
        <w:tc>
          <w:tcPr>
            <w:tcW w:w="211"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equipment supporting joint revenue sharing arrangements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other intangible assets</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Purchases of property, plant and equipment</w:t>
            </w: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 6 for supplemental disclosure of non-cash leasing activities.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Significant non-cash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fourth quarter of 2023, the Company recognized a $1.6 million liability on the Consolidated Balance Sheets within Accounts Payable related to repurchase of its common shares, which settled subsequent to December 31, 2023 (2022 — $2.0 million liability within Accrued and Other Liabilities).</w:t>
      </w:r>
    </w:p>
    <w:p>
      <w:pPr>
        <w:pStyle w:val="TextBody"/>
        <w:bidi w:val="0"/>
        <w:spacing w:before="200" w:after="283"/>
        <w:jc w:val="both"/>
        <w:rPr>
          <w:rFonts w:ascii="Times New Roman" w:hAnsi="Times New Roman"/>
          <w:sz w:val="20"/>
        </w:rPr>
      </w:pPr>
      <w:r>
        <w:rPr>
          <w:rFonts w:ascii="Times New Roman" w:hAnsi="Times New Roman"/>
          <w:b/>
          <w:color w:val="000000"/>
          <w:sz w:val="20"/>
        </w:rPr>
        <w:t>20.</w:t>
      </w:r>
      <w:r>
        <w:rPr>
          <w:rFonts w:ascii="Times New Roman" w:hAnsi="Times New Roman"/>
          <w:color w:val="000000"/>
          <w:sz w:val="20"/>
        </w:rPr>
        <w:t xml:space="preserve"> </w:t>
      </w:r>
      <w:r>
        <w:rPr>
          <w:rFonts w:ascii="Times New Roman" w:hAnsi="Times New Roman"/>
          <w:b/>
          <w:color w:val="000000"/>
          <w:sz w:val="20"/>
        </w:rPr>
        <w:t>Revenue from Contracts with Customers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Disaggregated Information About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first quarter of 2023, the Company updated its reportable segments (refer to Note 21). Prior year comparatives have been revised to conform with the current year presentation. The following tables summarize the Company’s revenues by type and reportable segment for the years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1"/>
        <w:gridCol w:w="224"/>
        <w:gridCol w:w="155"/>
        <w:gridCol w:w="832"/>
        <w:gridCol w:w="146"/>
        <w:gridCol w:w="146"/>
        <w:gridCol w:w="364"/>
        <w:gridCol w:w="251"/>
        <w:gridCol w:w="1348"/>
        <w:gridCol w:w="146"/>
        <w:gridCol w:w="146"/>
        <w:gridCol w:w="232"/>
        <w:gridCol w:w="161"/>
        <w:gridCol w:w="161"/>
        <w:gridCol w:w="746"/>
        <w:gridCol w:w="146"/>
        <w:gridCol w:w="146"/>
        <w:gridCol w:w="211"/>
        <w:gridCol w:w="146"/>
        <w:gridCol w:w="571"/>
        <w:gridCol w:w="146"/>
        <w:gridCol w:w="146"/>
        <w:gridCol w:w="211"/>
        <w:gridCol w:w="146"/>
        <w:gridCol w:w="781"/>
        <w:gridCol w:w="396"/>
      </w:tblGrid>
      <w:tr>
        <w:trPr/>
        <w:tc>
          <w:tcPr>
            <w:tcW w:w="21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7708"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21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Image Enhancement and Maintenance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Rentals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Content Solutions Segment</w:t>
            </w:r>
          </w:p>
        </w:tc>
        <w:tc>
          <w:tcPr>
            <w:tcW w:w="224"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5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 Remastering and Distribution</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118,637</w:t>
            </w:r>
          </w:p>
        </w:tc>
        <w:tc>
          <w:tcPr>
            <w:tcW w:w="396"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Content Solutions</w:t>
            </w:r>
          </w:p>
        </w:tc>
        <w:tc>
          <w:tcPr>
            <w:tcW w:w="224"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01" w:type="dxa"/>
            <w:tcBorders/>
            <w:shd w:fill="FFFFFF" w:val="clear"/>
            <w:vAlign w:val="center"/>
          </w:tcPr>
          <w:p>
            <w:pPr>
              <w:pStyle w:val="TableContents"/>
              <w:bidi w:val="0"/>
              <w:spacing w:before="0" w:after="283"/>
              <w:ind w:left="200" w:right="0" w:firstLine="200"/>
              <w:jc w:val="left"/>
              <w:rPr/>
            </w:pPr>
            <w:r>
              <w:rPr/>
              <w:t> </w:t>
            </w:r>
          </w:p>
        </w:tc>
        <w:tc>
          <w:tcPr>
            <w:tcW w:w="2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126,698</w:t>
            </w:r>
          </w:p>
        </w:tc>
        <w:tc>
          <w:tcPr>
            <w:tcW w:w="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Technology Products and Services Segment</w:t>
            </w:r>
          </w:p>
        </w:tc>
        <w:tc>
          <w:tcPr>
            <w:tcW w:w="224"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59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w:t>
            </w:r>
          </w:p>
        </w:tc>
        <w:tc>
          <w:tcPr>
            <w:tcW w:w="224"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93,271</w:t>
            </w:r>
          </w:p>
        </w:tc>
        <w:tc>
          <w:tcPr>
            <w:tcW w:w="396"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Rentals</w:t>
            </w:r>
          </w:p>
        </w:tc>
        <w:tc>
          <w:tcPr>
            <w:tcW w:w="22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396"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224"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56,737</w:t>
            </w:r>
          </w:p>
        </w:tc>
        <w:tc>
          <w:tcPr>
            <w:tcW w:w="396"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234,303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 for reportable segments</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Other</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374,839</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3"/>
        <w:gridCol w:w="234"/>
        <w:gridCol w:w="161"/>
        <w:gridCol w:w="751"/>
        <w:gridCol w:w="146"/>
        <w:gridCol w:w="146"/>
        <w:gridCol w:w="369"/>
        <w:gridCol w:w="255"/>
        <w:gridCol w:w="1368"/>
        <w:gridCol w:w="146"/>
        <w:gridCol w:w="146"/>
        <w:gridCol w:w="233"/>
        <w:gridCol w:w="161"/>
        <w:gridCol w:w="161"/>
        <w:gridCol w:w="748"/>
        <w:gridCol w:w="146"/>
        <w:gridCol w:w="146"/>
        <w:gridCol w:w="211"/>
        <w:gridCol w:w="146"/>
        <w:gridCol w:w="571"/>
        <w:gridCol w:w="146"/>
        <w:gridCol w:w="146"/>
        <w:gridCol w:w="211"/>
        <w:gridCol w:w="146"/>
        <w:gridCol w:w="781"/>
        <w:gridCol w:w="397"/>
      </w:tblGrid>
      <w:tr>
        <w:trPr/>
        <w:tc>
          <w:tcPr>
            <w:tcW w:w="2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vAlign w:val="center"/>
          </w:tcPr>
          <w:p>
            <w:pPr>
              <w:pStyle w:val="TableContents"/>
              <w:bidi w:val="0"/>
              <w:spacing w:before="0" w:after="283"/>
              <w:jc w:val="left"/>
              <w:rPr/>
            </w:pPr>
            <w:r>
              <w:rPr/>
              <w:t> </w:t>
            </w:r>
          </w:p>
        </w:tc>
        <w:tc>
          <w:tcPr>
            <w:tcW w:w="767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1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Image Enhancement and Maintenance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Rentals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Content Solutions Segment</w:t>
            </w:r>
          </w:p>
        </w:tc>
        <w:tc>
          <w:tcPr>
            <w:tcW w:w="234"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162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 Remastering and Distribution</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5"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94,867</w:t>
            </w:r>
          </w:p>
        </w:tc>
        <w:tc>
          <w:tcPr>
            <w:tcW w:w="397" w:type="dxa"/>
            <w:tcBorders/>
            <w:shd w:fill="FFFFFF" w:val="clear"/>
            <w:vAlign w:val="center"/>
          </w:tcPr>
          <w:p>
            <w:pPr>
              <w:pStyle w:val="TableContents"/>
              <w:bidi w:val="0"/>
              <w:spacing w:before="0" w:after="283"/>
              <w:jc w:val="left"/>
              <w:rPr/>
            </w:pPr>
            <w:r>
              <w:rPr/>
              <w:t> </w:t>
            </w:r>
          </w:p>
        </w:tc>
      </w:tr>
      <w:tr>
        <w:trPr/>
        <w:tc>
          <w:tcPr>
            <w:tcW w:w="21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Content Solutions</w:t>
            </w:r>
          </w:p>
        </w:tc>
        <w:tc>
          <w:tcPr>
            <w:tcW w:w="234"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3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133" w:type="dxa"/>
            <w:tcBorders/>
            <w:shd w:fill="FFFFFF" w:val="clear"/>
            <w:vAlign w:val="center"/>
          </w:tcPr>
          <w:p>
            <w:pPr>
              <w:pStyle w:val="TableContents"/>
              <w:bidi w:val="0"/>
              <w:spacing w:before="0" w:after="283"/>
              <w:ind w:left="200" w:right="0" w:firstLine="200"/>
              <w:jc w:val="left"/>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101,820</w:t>
            </w:r>
          </w:p>
        </w:tc>
        <w:tc>
          <w:tcPr>
            <w:tcW w:w="3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Technology Products and Services Segment</w:t>
            </w:r>
          </w:p>
        </w:tc>
        <w:tc>
          <w:tcPr>
            <w:tcW w:w="234"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6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r>
      <w:tr>
        <w:trPr/>
        <w:tc>
          <w:tcPr>
            <w:tcW w:w="21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w:t>
            </w:r>
          </w:p>
        </w:tc>
        <w:tc>
          <w:tcPr>
            <w:tcW w:w="234"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3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65,510</w:t>
            </w:r>
          </w:p>
        </w:tc>
        <w:tc>
          <w:tcPr>
            <w:tcW w:w="397" w:type="dxa"/>
            <w:tcBorders/>
            <w:shd w:fill="CFF0FC"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Rentals</w:t>
            </w:r>
          </w:p>
        </w:tc>
        <w:tc>
          <w:tcPr>
            <w:tcW w:w="23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61,768</w:t>
            </w:r>
          </w:p>
        </w:tc>
        <w:tc>
          <w:tcPr>
            <w:tcW w:w="397" w:type="dxa"/>
            <w:tcBorders/>
            <w:shd w:fill="FFFFFF" w:val="clear"/>
            <w:vAlign w:val="center"/>
          </w:tcPr>
          <w:p>
            <w:pPr>
              <w:pStyle w:val="TableContents"/>
              <w:bidi w:val="0"/>
              <w:spacing w:before="0" w:after="283"/>
              <w:jc w:val="left"/>
              <w:rPr/>
            </w:pPr>
            <w:r>
              <w:rPr/>
              <w:t> </w:t>
            </w:r>
          </w:p>
        </w:tc>
      </w:tr>
      <w:tr>
        <w:trPr/>
        <w:tc>
          <w:tcPr>
            <w:tcW w:w="21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234"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3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56,608</w:t>
            </w:r>
          </w:p>
        </w:tc>
        <w:tc>
          <w:tcPr>
            <w:tcW w:w="397" w:type="dxa"/>
            <w:tcBorders/>
            <w:shd w:fill="CFF0FC"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192,368</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 for reportable segments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294,188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Other</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300,805</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bookmarkStart w:id="25" w:name="ole_link1"/>
      <w:bookmarkEnd w:id="25"/>
      <w:r>
        <w:rPr/>
        <w:t> </w:t>
      </w:r>
    </w:p>
    <w:tbl>
      <w:tblPr>
        <w:tblW w:w="10205" w:type="dxa"/>
        <w:jc w:val="left"/>
        <w:tblInd w:w="0" w:type="dxa"/>
        <w:tblLayout w:type="fixed"/>
        <w:tblCellMar>
          <w:top w:w="28" w:type="dxa"/>
          <w:left w:w="28" w:type="dxa"/>
          <w:bottom w:w="28" w:type="dxa"/>
          <w:right w:w="28" w:type="dxa"/>
        </w:tblCellMar>
      </w:tblPr>
      <w:tblGrid>
        <w:gridCol w:w="2084"/>
        <w:gridCol w:w="233"/>
        <w:gridCol w:w="161"/>
        <w:gridCol w:w="747"/>
        <w:gridCol w:w="146"/>
        <w:gridCol w:w="146"/>
        <w:gridCol w:w="361"/>
        <w:gridCol w:w="249"/>
        <w:gridCol w:w="1338"/>
        <w:gridCol w:w="146"/>
        <w:gridCol w:w="146"/>
        <w:gridCol w:w="232"/>
        <w:gridCol w:w="160"/>
        <w:gridCol w:w="160"/>
        <w:gridCol w:w="745"/>
        <w:gridCol w:w="146"/>
        <w:gridCol w:w="146"/>
        <w:gridCol w:w="211"/>
        <w:gridCol w:w="146"/>
        <w:gridCol w:w="676"/>
        <w:gridCol w:w="146"/>
        <w:gridCol w:w="146"/>
        <w:gridCol w:w="211"/>
        <w:gridCol w:w="146"/>
        <w:gridCol w:w="781"/>
        <w:gridCol w:w="396"/>
      </w:tblGrid>
      <w:tr>
        <w:trPr/>
        <w:tc>
          <w:tcPr>
            <w:tcW w:w="20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084" w:type="dxa"/>
            <w:tcBorders/>
            <w:shd w:fill="FFFFFF" w:val="clear"/>
            <w:vAlign w:val="center"/>
          </w:tcPr>
          <w:p>
            <w:pPr>
              <w:pStyle w:val="TableContents"/>
              <w:bidi w:val="0"/>
              <w:spacing w:before="0" w:after="283"/>
              <w:jc w:val="left"/>
              <w:rPr/>
            </w:pPr>
            <w:r>
              <w:rPr/>
              <w:t> </w:t>
            </w:r>
          </w:p>
        </w:tc>
        <w:tc>
          <w:tcPr>
            <w:tcW w:w="772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1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Image Enhancement and Maintenance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 Rentals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Content Solutions Segment</w:t>
            </w:r>
          </w:p>
        </w:tc>
        <w:tc>
          <w:tcPr>
            <w:tcW w:w="233" w:type="dxa"/>
            <w:tcBorders/>
            <w:shd w:fill="CFF0FC" w:val="clear"/>
            <w:vAlign w:val="center"/>
          </w:tcPr>
          <w:p>
            <w:pPr>
              <w:pStyle w:val="TableContents"/>
              <w:bidi w:val="0"/>
              <w:spacing w:before="0" w:after="283"/>
              <w:jc w:val="left"/>
              <w:rPr/>
            </w:pPr>
            <w:r>
              <w:rPr/>
              <w:t> </w:t>
            </w:r>
          </w:p>
        </w:tc>
        <w:tc>
          <w:tcPr>
            <w:tcW w:w="90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5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9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Film Remastering and Distribution</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70,659</w:t>
            </w:r>
          </w:p>
        </w:tc>
        <w:tc>
          <w:tcPr>
            <w:tcW w:w="396" w:type="dxa"/>
            <w:tcBorders/>
            <w:shd w:fill="FFFFFF" w:val="clear"/>
            <w:vAlign w:val="center"/>
          </w:tcPr>
          <w:p>
            <w:pPr>
              <w:pStyle w:val="TableContents"/>
              <w:bidi w:val="0"/>
              <w:spacing w:before="0" w:after="283"/>
              <w:jc w:val="left"/>
              <w:rPr/>
            </w:pPr>
            <w:r>
              <w:rPr/>
              <w:t> </w:t>
            </w:r>
          </w:p>
        </w:tc>
      </w:tr>
      <w:tr>
        <w:trPr/>
        <w:tc>
          <w:tcPr>
            <w:tcW w:w="20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Content Solutions</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3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084" w:type="dxa"/>
            <w:tcBorders/>
            <w:shd w:fill="FFFFFF" w:val="clear"/>
            <w:vAlign w:val="center"/>
          </w:tcPr>
          <w:p>
            <w:pPr>
              <w:pStyle w:val="TableContents"/>
              <w:bidi w:val="0"/>
              <w:spacing w:before="0" w:after="283"/>
              <w:ind w:left="200" w:right="0" w:firstLine="200"/>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76,989</w:t>
            </w:r>
          </w:p>
        </w:tc>
        <w:tc>
          <w:tcPr>
            <w:tcW w:w="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Technology Products and Services Segment</w:t>
            </w:r>
          </w:p>
        </w:tc>
        <w:tc>
          <w:tcPr>
            <w:tcW w:w="233" w:type="dxa"/>
            <w:tcBorders/>
            <w:shd w:fill="FFFFFF" w:val="clear"/>
            <w:vAlign w:val="center"/>
          </w:tcPr>
          <w:p>
            <w:pPr>
              <w:pStyle w:val="TableContents"/>
              <w:bidi w:val="0"/>
              <w:spacing w:before="0" w:after="283"/>
              <w:jc w:val="left"/>
              <w:rPr/>
            </w:pPr>
            <w:r>
              <w:rPr/>
              <w:t> </w:t>
            </w:r>
          </w:p>
        </w:tc>
        <w:tc>
          <w:tcPr>
            <w:tcW w:w="90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5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20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3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62,637</w:t>
            </w:r>
          </w:p>
        </w:tc>
        <w:tc>
          <w:tcPr>
            <w:tcW w:w="396" w:type="dxa"/>
            <w:tcBorders/>
            <w:shd w:fill="CFF0FC"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Rentals</w:t>
            </w:r>
          </w:p>
        </w:tc>
        <w:tc>
          <w:tcPr>
            <w:tcW w:w="23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46,184</w:t>
            </w:r>
          </w:p>
        </w:tc>
        <w:tc>
          <w:tcPr>
            <w:tcW w:w="396" w:type="dxa"/>
            <w:tcBorders/>
            <w:shd w:fill="FFFFFF" w:val="clear"/>
            <w:vAlign w:val="center"/>
          </w:tcPr>
          <w:p>
            <w:pPr>
              <w:pStyle w:val="TableContents"/>
              <w:bidi w:val="0"/>
              <w:spacing w:before="0" w:after="283"/>
              <w:jc w:val="left"/>
              <w:rPr/>
            </w:pPr>
            <w:r>
              <w:rPr/>
              <w:t> </w:t>
            </w:r>
          </w:p>
        </w:tc>
      </w:tr>
      <w:tr>
        <w:trPr/>
        <w:tc>
          <w:tcPr>
            <w:tcW w:w="20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23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3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53,339</w:t>
            </w:r>
          </w:p>
        </w:tc>
        <w:tc>
          <w:tcPr>
            <w:tcW w:w="396" w:type="dxa"/>
            <w:tcBorders/>
            <w:shd w:fill="CFF0FC"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 for reportable segments</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Other</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254,883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December 31, 2023, $22.8 million of consideration has been deferred in relation to outstanding maintenance services to be provided on existing maintenance contracts (December 31, 2022 — $21.0 million and 2021 — $20.2 million). Maintenance revenue is recognized evenly over the contract term which coincides with the period over which maintenance services are provided. In the event of customer default, any payments made by the customer may be retained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system increases as progress payments are made and is then derecognized when control of the system is transferred to the customer. Recognition dates are variable and depend on numerous factors, including some outside of the Company’s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$43.1 million of revenue was recognized that was included in the $70.9 million balance of deferred revenue as of December 31, 2022. For the year ended December 31, 2022, $26.5 million of revenue was recognized that was included in the $81.2 million balance of deferred revenue as of December 31, 2021.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21. Segment Reporting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Chief Executive Officer (“CEO”) is its Chief Operating Decision Maker (“CODM”), as such term is determined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first quarter of 2023, the Company revised its internal segment reporting, including the information provided to the CODM to assess segment performance and allocate resources. Accordingly, the Company has two reportable segments: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Content Solutions – principally includes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Technology Products and Services – principally includes the sale, lease, and maintenance of IMAX Systems. To a lesser extent, the Technology Product and Services segment also earns revenue from certain ancillary theater business activities, including after-market sales of IMAX System parts and 3D glasses.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activities that do not meet the criteria to be considered a reportable segment are reported within All Other. Prior period comparatives have been revised to conform with the current period presentation.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 xml:space="preserve">Segment Financial Information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revenue and gross margin by reportable segment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Revenue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 Solutions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45,269</w:t>
            </w:r>
          </w:p>
        </w:tc>
        <w:tc>
          <w:tcPr>
            <w:tcW w:w="291" w:type="dxa"/>
            <w:tcBorders/>
            <w:shd w:fill="CFF0FC" w:val="clear"/>
            <w:vAlign w:val="center"/>
          </w:tcPr>
          <w:p>
            <w:pPr>
              <w:pStyle w:val="TableContents"/>
              <w:bidi w:val="0"/>
              <w:spacing w:before="0" w:after="283"/>
              <w:jc w:val="left"/>
              <w:rPr/>
            </w:pPr>
            <w:r>
              <w:rPr/>
              <w:t> </w:t>
            </w:r>
          </w:p>
        </w:tc>
      </w:tr>
      <w:tr>
        <w:trPr/>
        <w:tc>
          <w:tcPr>
            <w:tcW w:w="2502"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Products and Services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assets by reportable segment, reconciled to consolidated assets, as of December 31, 2023 and 2022:</w:t>
      </w:r>
    </w:p>
    <w:tbl>
      <w:tblPr>
        <w:tblW w:w="6734"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11"/>
        <w:gridCol w:w="781"/>
        <w:gridCol w:w="2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92,706</w:t>
            </w:r>
          </w:p>
        </w:tc>
        <w:tc>
          <w:tcPr>
            <w:tcW w:w="2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617,015</w:t>
            </w:r>
          </w:p>
        </w:tc>
        <w:tc>
          <w:tcPr>
            <w:tcW w:w="2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29,686</w:t>
            </w:r>
          </w:p>
        </w:tc>
        <w:tc>
          <w:tcPr>
            <w:tcW w:w="2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non-segment specific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amortization by reportable segment, and on a consolidated basis, for the years ended December 31, 2023, 2022, and 2021:</w:t>
      </w:r>
    </w:p>
    <w:tbl>
      <w:tblPr>
        <w:tblW w:w="7703"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11"/>
        <w:gridCol w:w="676"/>
        <w:gridCol w:w="146"/>
        <w:gridCol w:w="146"/>
        <w:gridCol w:w="211"/>
        <w:gridCol w:w="676"/>
        <w:gridCol w:w="2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17,441</w:t>
            </w:r>
          </w:p>
        </w:tc>
        <w:tc>
          <w:tcPr>
            <w:tcW w:w="2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43,725</w:t>
            </w:r>
          </w:p>
        </w:tc>
        <w:tc>
          <w:tcPr>
            <w:tcW w:w="2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non-segment specific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write-downs, including asset impairments and credit loss expense (reversal) by reportable segment, and on a consolidated basis, for the years ended December 31, 2023, 2022, and 2021:</w:t>
      </w:r>
    </w:p>
    <w:tbl>
      <w:tblPr>
        <w:tblW w:w="7738" w:type="dxa"/>
        <w:jc w:val="left"/>
        <w:tblInd w:w="0" w:type="dxa"/>
        <w:tblLayout w:type="fixed"/>
        <w:tblCellMar>
          <w:top w:w="28" w:type="dxa"/>
          <w:left w:w="28" w:type="dxa"/>
          <w:bottom w:w="28" w:type="dxa"/>
          <w:right w:w="28" w:type="dxa"/>
        </w:tblCellMar>
      </w:tblPr>
      <w:tblGrid>
        <w:gridCol w:w="4186"/>
        <w:gridCol w:w="146"/>
        <w:gridCol w:w="211"/>
        <w:gridCol w:w="571"/>
        <w:gridCol w:w="146"/>
        <w:gridCol w:w="146"/>
        <w:gridCol w:w="211"/>
        <w:gridCol w:w="676"/>
        <w:gridCol w:w="146"/>
        <w:gridCol w:w="146"/>
        <w:gridCol w:w="211"/>
        <w:gridCol w:w="631"/>
        <w:gridCol w:w="3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Years Ended December 31,</w:t>
            </w:r>
            <w:r>
              <w:rPr>
                <w:rFonts w:ascii="Times New Roman" w:hAnsi="Times New Roman"/>
                <w:b/>
                <w:color w:val="000000"/>
                <w:sz w:val="11"/>
              </w:rPr>
              <w:t>(2)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31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 non-segment specific assets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Company’s purchases of Property, Plant and Equipment within the Consolidated Statements of Cash Flows by reportable segment for the years ended December 31, 2023, 2022, and 2021:</w:t>
      </w:r>
    </w:p>
    <w:tbl>
      <w:tblPr>
        <w:tblW w:w="7703"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11"/>
        <w:gridCol w:w="676"/>
        <w:gridCol w:w="146"/>
        <w:gridCol w:w="146"/>
        <w:gridCol w:w="211"/>
        <w:gridCol w:w="676"/>
        <w:gridCol w:w="2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2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Products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Sub-total for reportable segments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non-segment specific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largest customer represents 10% of total Revenues as of December 31, 2023 (2022 ― 12%; 2021 ― 10%). No single customer comprises more than 10% of the Company’s total Accounts Receivable as of December 31, 2023 and 2022.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a provision for current expected credit losses of $1.8 million (2022 ― provision of $8.5 million; 2021 ― net reversal of $4.0 million). (Refer to Note 5.) In 2022, the Company recognized a full impairment of its RMB 30.0 million ($4.5 million) investment in the film Mozart from Space based on projected box office results and distribution costs. (Refer to Note 22(e).)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by geographic area is based on the location of the customer. Revenue related to the IMAX Film Remastering process is presented based upon the geographic location of the IMAX System that exhibit the remastered films. IMAX Film Remastering revenue is generated through contractual relationships with studios and other third parties and these may not be in the same geographical location as the IMAX System.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revenues by geographic area for the years ended December 31, 2023, 2022, and 2021: </w:t>
      </w:r>
    </w:p>
    <w:p>
      <w:pPr>
        <w:pStyle w:val="TextBody"/>
        <w:bidi w:val="0"/>
        <w:jc w:val="both"/>
        <w:rPr/>
      </w:pPr>
      <w:r>
        <w:rPr/>
        <w:t> </w:t>
      </w:r>
    </w:p>
    <w:tbl>
      <w:tblPr>
        <w:tblW w:w="6538"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73,499</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112,801</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23,682</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single country in the Rest of the World, Western Europe, Latin America, and Asia (excluding Greater China) classifications comprises more than 10% of total revenue.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breakdown of Property, Plant and Equipment by geography as of December 31, 2023 and 2022:</w:t>
      </w:r>
    </w:p>
    <w:tbl>
      <w:tblPr>
        <w:tblW w:w="5254"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2422"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shd w:fill="FFFFFF" w:val="cle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94,505</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86,665</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20,132</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Greater 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22. Financial Instruments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cash with various major financial institutions. The Company’s cash is invested with highly rated financial institutions. The Company’s $76.2 million balance of cash and cash equivalents as of December 31, 2023 (December 31, 2022 — $97.4 million) includes $68.5 million in cash held outside of Canada (December 31, 2022 — $79.7 million), of which $30.0 million was held in the PRC (December 31, 2022 — $43.7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Disclosures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 </w:t>
      </w:r>
    </w:p>
    <w:tbl>
      <w:tblPr>
        <w:tblW w:w="9927" w:type="dxa"/>
        <w:jc w:val="left"/>
        <w:tblInd w:w="0" w:type="dxa"/>
        <w:tblLayout w:type="fixed"/>
        <w:tblCellMar>
          <w:top w:w="28" w:type="dxa"/>
          <w:left w:w="28" w:type="dxa"/>
          <w:bottom w:w="28" w:type="dxa"/>
          <w:right w:w="28" w:type="dxa"/>
        </w:tblCellMar>
      </w:tblPr>
      <w:tblGrid>
        <w:gridCol w:w="4426"/>
        <w:gridCol w:w="146"/>
        <w:gridCol w:w="211"/>
        <w:gridCol w:w="841"/>
        <w:gridCol w:w="166"/>
        <w:gridCol w:w="146"/>
        <w:gridCol w:w="211"/>
        <w:gridCol w:w="841"/>
        <w:gridCol w:w="166"/>
        <w:gridCol w:w="146"/>
        <w:gridCol w:w="211"/>
        <w:gridCol w:w="841"/>
        <w:gridCol w:w="166"/>
        <w:gridCol w:w="146"/>
        <w:gridCol w:w="211"/>
        <w:gridCol w:w="84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1</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and cash equivalents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97,401</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securities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2</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financed sales receivables</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100,059</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 sales-type leases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27,972</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securities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COLI</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Foreign exchange contracts — designated forwards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Wells Fargo Credit Facility borrowings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HSBC China Facility borrowings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Bank of China Facility borrowings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Federal Economic Development Loan</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(196,717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Recorded at cost, which approximates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Fair value is determined using quoted prices in active markets.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is estimated based on discounting future cash flows at currently available interest rates with comparable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Measured at cash surrender value, which approximates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is determined using quoted market prices that are observable in the market or that could be derived from observable market data.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Exchange Risk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exposed to market risk from changes in foreign currency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90 different countries, unfavorable exchange rates between applicable local currencies and the U.S. Dollar could have an impact on box office receipts and the Company’s revenues and results of operations. The Company’s policy is to not use any financial instruments for trading or other speculative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December 31, 2023 (the “Foreign Currency Hedges”), with settlement dates throughout 2024 and 2025.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and reclassified to the Consolidated Statements of Operations when the forecasted transaction occurs. Any ineffective portion is recognized immediately in the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tabular disclosures reflect the impact that derivative instruments and hedging activities have on the Company’s Consolidated Financial Statements:</w:t>
      </w:r>
    </w:p>
    <w:p>
      <w:pPr>
        <w:pStyle w:val="TextBody"/>
        <w:bidi w:val="0"/>
        <w:spacing w:before="200" w:after="200"/>
        <w:jc w:val="both"/>
        <w:rPr>
          <w:rFonts w:ascii="Times New Roman" w:hAnsi="Times New Roman"/>
          <w:sz w:val="20"/>
        </w:rPr>
      </w:pPr>
      <w:r>
        <w:rPr>
          <w:rFonts w:ascii="Times New Roman" w:hAnsi="Times New Roman"/>
          <w:color w:val="000000"/>
          <w:sz w:val="20"/>
          <w:u w:val="single"/>
        </w:rPr>
        <w:t>Notional value of foreign exchange contracts</w:t>
      </w:r>
      <w:r>
        <w:rPr>
          <w:rFonts w:ascii="Times New Roman" w:hAnsi="Times New Roman"/>
          <w:color w:val="000000"/>
          <w:sz w:val="20"/>
        </w:rPr>
        <w:t>:</w:t>
      </w:r>
    </w:p>
    <w:tbl>
      <w:tblPr>
        <w:tblW w:w="6464" w:type="dxa"/>
        <w:jc w:val="left"/>
        <w:tblInd w:w="0" w:type="dxa"/>
        <w:tblLayout w:type="fixed"/>
        <w:tblCellMar>
          <w:top w:w="28" w:type="dxa"/>
          <w:left w:w="28" w:type="dxa"/>
          <w:bottom w:w="28" w:type="dxa"/>
          <w:right w:w="28" w:type="dxa"/>
        </w:tblCellMar>
      </w:tblPr>
      <w:tblGrid>
        <w:gridCol w:w="3961"/>
        <w:gridCol w:w="146"/>
        <w:gridCol w:w="211"/>
        <w:gridCol w:w="676"/>
        <w:gridCol w:w="146"/>
        <w:gridCol w:w="146"/>
        <w:gridCol w:w="211"/>
        <w:gridCol w:w="676"/>
        <w:gridCol w:w="2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9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 contracts — Forwards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u w:val="single"/>
        </w:rPr>
        <w:t>Fair value of derivatives in foreign exchange contracts</w:t>
      </w:r>
      <w:r>
        <w:rPr>
          <w:rFonts w:ascii="Times New Roman" w:hAnsi="Times New Roman"/>
          <w:color w:val="000000"/>
          <w:sz w:val="20"/>
        </w:rPr>
        <w:t>:</w:t>
      </w:r>
    </w:p>
    <w:tbl>
      <w:tblPr>
        <w:tblW w:w="8696" w:type="dxa"/>
        <w:jc w:val="left"/>
        <w:tblInd w:w="0" w:type="dxa"/>
        <w:tblLayout w:type="fixed"/>
        <w:tblCellMar>
          <w:top w:w="28" w:type="dxa"/>
          <w:left w:w="28" w:type="dxa"/>
          <w:bottom w:w="28" w:type="dxa"/>
          <w:right w:w="28" w:type="dxa"/>
        </w:tblCellMar>
      </w:tblPr>
      <w:tblGrid>
        <w:gridCol w:w="3961"/>
        <w:gridCol w:w="146"/>
        <w:gridCol w:w="2416"/>
        <w:gridCol w:w="146"/>
        <w:gridCol w:w="211"/>
        <w:gridCol w:w="421"/>
        <w:gridCol w:w="166"/>
        <w:gridCol w:w="146"/>
        <w:gridCol w:w="211"/>
        <w:gridCol w:w="481"/>
        <w:gridCol w:w="3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hedging instruments:</w:t>
            </w:r>
          </w:p>
        </w:tc>
        <w:tc>
          <w:tcPr>
            <w:tcW w:w="146" w:type="dxa"/>
            <w:tcBorders/>
            <w:shd w:fill="CFF0FC" w:val="clear"/>
            <w:vAlign w:val="center"/>
          </w:tcPr>
          <w:p>
            <w:pPr>
              <w:pStyle w:val="TableContents"/>
              <w:bidi w:val="0"/>
              <w:spacing w:before="0" w:after="283"/>
              <w:jc w:val="lef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exchange contracts — Forwards</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u w:val="single"/>
        </w:rPr>
        <w:t>Derivatives in foreign currency hedging relationships are as follows</w:t>
      </w:r>
      <w:r>
        <w:rPr>
          <w:rFonts w:ascii="Times New Roman" w:hAnsi="Times New Roman"/>
          <w:color w:val="000000"/>
          <w:sz w:val="20"/>
        </w:rPr>
        <w:t>:</w:t>
      </w:r>
    </w:p>
    <w:tbl>
      <w:tblPr>
        <w:tblW w:w="8620" w:type="dxa"/>
        <w:jc w:val="left"/>
        <w:tblInd w:w="0" w:type="dxa"/>
        <w:tblLayout w:type="fixed"/>
        <w:tblCellMar>
          <w:top w:w="28" w:type="dxa"/>
          <w:left w:w="28" w:type="dxa"/>
          <w:bottom w:w="28" w:type="dxa"/>
          <w:right w:w="28" w:type="dxa"/>
        </w:tblCellMar>
      </w:tblPr>
      <w:tblGrid>
        <w:gridCol w:w="2356"/>
        <w:gridCol w:w="246"/>
        <w:gridCol w:w="2641"/>
        <w:gridCol w:w="146"/>
        <w:gridCol w:w="211"/>
        <w:gridCol w:w="481"/>
        <w:gridCol w:w="166"/>
        <w:gridCol w:w="146"/>
        <w:gridCol w:w="211"/>
        <w:gridCol w:w="631"/>
        <w:gridCol w:w="166"/>
        <w:gridCol w:w="146"/>
        <w:gridCol w:w="211"/>
        <w:gridCol w:w="571"/>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246" w:type="dxa"/>
            <w:tcBorders/>
            <w:shd w:fill="CFF0FC" w:val="clear"/>
            <w:vAlign w:val="center"/>
          </w:tcPr>
          <w:p>
            <w:pPr>
              <w:pStyle w:val="TableContents"/>
              <w:bidi w:val="0"/>
              <w:spacing w:before="0" w:after="283"/>
              <w:jc w:val="left"/>
              <w:rPr/>
            </w:pPr>
            <w:r>
              <w:rPr/>
              <w:t> </w:t>
            </w:r>
          </w:p>
        </w:tc>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Gain (Loss)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356" w:type="dxa"/>
            <w:tcBorders/>
            <w:shd w:fill="FFFFFF" w:val="clear"/>
            <w:vAlign w:val="center"/>
          </w:tcPr>
          <w:p>
            <w:pPr>
              <w:pStyle w:val="TableContents"/>
              <w:bidi w:val="0"/>
              <w:spacing w:before="0" w:after="283"/>
              <w:ind w:left="100" w:right="0" w:firstLine="100"/>
              <w:jc w:val="left"/>
              <w:rPr>
                <w:color w:val="000000"/>
              </w:rPr>
            </w:pPr>
            <w:r>
              <w:rPr>
                <w:color w:val="000000"/>
              </w:rPr>
              <w:t xml:space="preserve">— </w:t>
            </w:r>
            <w:r>
              <w:rPr>
                <w:rFonts w:ascii="Times New Roman" w:hAnsi="Times New Roman"/>
                <w:color w:val="000000"/>
                <w:sz w:val="20"/>
              </w:rPr>
              <w:t>Forwards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Recognized in OCI</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ind w:left="0" w:right="0" w:firstLine="100"/>
              <w:jc w:val="left"/>
              <w:rPr/>
            </w:pPr>
            <w:r>
              <w:rPr/>
              <w:t> </w:t>
            </w:r>
          </w:p>
        </w:tc>
        <w:tc>
          <w:tcPr>
            <w:tcW w:w="26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(Effective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64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Derivative (Loss) Gain</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64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from AOCI</w:t>
            </w:r>
          </w:p>
        </w:tc>
        <w:tc>
          <w:tcPr>
            <w:tcW w:w="146" w:type="dxa"/>
            <w:tcBorders/>
            <w:shd w:fill="FFFFFF" w:val="clear"/>
            <w:vAlign w:val="center"/>
          </w:tcPr>
          <w:p>
            <w:pPr>
              <w:pStyle w:val="TableContents"/>
              <w:bidi w:val="0"/>
              <w:spacing w:before="0" w:after="283"/>
              <w:jc w:val="left"/>
              <w:rPr/>
            </w:pPr>
            <w:r>
              <w:rPr/>
              <w:t> </w:t>
            </w:r>
          </w:p>
        </w:tc>
        <w:tc>
          <w:tcPr>
            <w:tcW w:w="29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Portion)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246" w:type="dxa"/>
            <w:tcBorders/>
            <w:shd w:fill="CFF0FC" w:val="clear"/>
            <w:vAlign w:val="center"/>
          </w:tcPr>
          <w:p>
            <w:pPr>
              <w:pStyle w:val="TableContents"/>
              <w:bidi w:val="0"/>
              <w:spacing w:before="0" w:after="283"/>
              <w:jc w:val="left"/>
              <w:rPr/>
            </w:pPr>
            <w:r>
              <w:rPr/>
              <w:t> </w:t>
            </w:r>
          </w:p>
        </w:tc>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ind w:left="0" w:right="0" w:firstLine="100"/>
              <w:jc w:val="left"/>
              <w:rPr/>
            </w:pPr>
            <w:r>
              <w:rPr/>
              <w:t> </w:t>
            </w:r>
          </w:p>
        </w:tc>
        <w:tc>
          <w:tcPr>
            <w:tcW w:w="2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20"/>
          <w:u w:val="single"/>
        </w:rPr>
        <w:t>Non-designated derivatives in foreign currency relationships are as follows</w:t>
      </w:r>
      <w:r>
        <w:rPr>
          <w:rFonts w:ascii="Times New Roman" w:hAnsi="Times New Roman"/>
          <w:color w:val="000000"/>
          <w:sz w:val="20"/>
        </w:rPr>
        <w:t>:</w:t>
      </w:r>
    </w:p>
    <w:p>
      <w:pPr>
        <w:pStyle w:val="TextBody"/>
        <w:bidi w:val="0"/>
        <w:jc w:val="both"/>
        <w:rPr/>
      </w:pPr>
      <w:r>
        <w:rPr/>
        <w:t> </w:t>
      </w:r>
    </w:p>
    <w:tbl>
      <w:tblPr>
        <w:tblW w:w="7780" w:type="dxa"/>
        <w:jc w:val="left"/>
        <w:tblInd w:w="0" w:type="dxa"/>
        <w:tblLayout w:type="fixed"/>
        <w:tblCellMar>
          <w:top w:w="28" w:type="dxa"/>
          <w:left w:w="28" w:type="dxa"/>
          <w:bottom w:w="28" w:type="dxa"/>
          <w:right w:w="28" w:type="dxa"/>
        </w:tblCellMar>
      </w:tblPr>
      <w:tblGrid>
        <w:gridCol w:w="2356"/>
        <w:gridCol w:w="246"/>
        <w:gridCol w:w="2431"/>
        <w:gridCol w:w="146"/>
        <w:gridCol w:w="211"/>
        <w:gridCol w:w="346"/>
        <w:gridCol w:w="146"/>
        <w:gridCol w:w="146"/>
        <w:gridCol w:w="211"/>
        <w:gridCol w:w="346"/>
        <w:gridCol w:w="146"/>
        <w:gridCol w:w="146"/>
        <w:gridCol w:w="211"/>
        <w:gridCol w:w="481"/>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2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Gain Reclassified</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Forwards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From AOCI</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ind w:left="0" w:right="0" w:firstLine="100"/>
              <w:jc w:val="left"/>
              <w:rPr/>
            </w:pPr>
            <w:r>
              <w:rPr/>
              <w:t> </w:t>
            </w:r>
          </w:p>
        </w:tc>
        <w:tc>
          <w:tcPr>
            <w:tcW w:w="24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(Ineffective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530" w:type="dxa"/>
        <w:jc w:val="left"/>
        <w:tblInd w:w="0" w:type="dxa"/>
        <w:tblLayout w:type="fixed"/>
        <w:tblCellMar>
          <w:top w:w="28" w:type="dxa"/>
          <w:left w:w="28" w:type="dxa"/>
          <w:bottom w:w="28" w:type="dxa"/>
          <w:right w:w="28" w:type="dxa"/>
        </w:tblCellMar>
      </w:tblPr>
      <w:tblGrid>
        <w:gridCol w:w="2356"/>
        <w:gridCol w:w="246"/>
        <w:gridCol w:w="2161"/>
        <w:gridCol w:w="146"/>
        <w:gridCol w:w="211"/>
        <w:gridCol w:w="346"/>
        <w:gridCol w:w="146"/>
        <w:gridCol w:w="146"/>
        <w:gridCol w:w="211"/>
        <w:gridCol w:w="346"/>
        <w:gridCol w:w="146"/>
        <w:gridCol w:w="146"/>
        <w:gridCol w:w="211"/>
        <w:gridCol w:w="421"/>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246"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Location of Derivative Gain</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246" w:type="dxa"/>
            <w:tcBorders/>
            <w:shd w:fill="CFF0FC" w:val="clear"/>
            <w:vAlign w:val="center"/>
          </w:tcPr>
          <w:p>
            <w:pPr>
              <w:pStyle w:val="TableContents"/>
              <w:bidi w:val="0"/>
              <w:spacing w:before="0" w:after="283"/>
              <w:jc w:val="left"/>
              <w:rPr/>
            </w:pPr>
            <w:r>
              <w:rPr/>
              <w:t> </w:t>
            </w:r>
          </w:p>
        </w:tc>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356" w:type="dxa"/>
            <w:tcBorders/>
            <w:shd w:fill="FFFFFF" w:val="clear"/>
            <w:vAlign w:val="center"/>
          </w:tcPr>
          <w:p>
            <w:pPr>
              <w:pStyle w:val="TableContents"/>
              <w:bidi w:val="0"/>
              <w:spacing w:before="0" w:after="283"/>
              <w:ind w:left="100" w:right="0" w:firstLine="100"/>
              <w:jc w:val="left"/>
              <w:rPr>
                <w:color w:val="000000"/>
              </w:rPr>
            </w:pPr>
            <w:r>
              <w:rPr>
                <w:color w:val="000000"/>
              </w:rPr>
              <w:t xml:space="preserve">— </w:t>
            </w:r>
            <w:r>
              <w:rPr>
                <w:rFonts w:ascii="Times New Roman" w:hAnsi="Times New Roman"/>
                <w:color w:val="000000"/>
                <w:sz w:val="20"/>
              </w:rPr>
              <w:t>Forwards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1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estimated net amount of the existing gain as of December 31, 2023 is $0.6 million, which is expected to be reclassified to earnings within the next twelve months.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Investments in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the Consolidated Balance Sheets includes $nil (December 31, 2022 — $1.0 million) of shares of an exchange traded fund which is classified as an investment in equity securities.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held investments in the preferred shares of enterprises which meet the criteria for classification as an equity security carried at historical cost, net of impairment charges. The carrying value of these equity security investments was $1.0 million as of December 31, 2023 (December 31, 2022 — $1.0 million) and is recorded in Other Assets.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 Interest in Film</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2022, IMAX (Shanghai) Culture and Technology Co., Ltd, a wholly-owned subsidiary of IMAX China, entered into a joint film investment agreement with Wanda Film (Horgos) Co. Ltd. to invest RMB 30.0 million ($4.7 million) in the movie </w:t>
      </w:r>
      <w:r>
        <w:rPr>
          <w:rFonts w:ascii="Times New Roman" w:hAnsi="Times New Roman"/>
          <w:i/>
          <w:color w:val="000000"/>
          <w:sz w:val="20"/>
        </w:rPr>
        <w:t>Mozart from Space</w:t>
      </w:r>
      <w:r>
        <w:rPr>
          <w:rFonts w:ascii="Times New Roman" w:hAnsi="Times New Roman"/>
          <w:color w:val="000000"/>
          <w:sz w:val="20"/>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Consolidated Balance Sheets.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2022, the Company recognized a full impairment of its RMB 30.0 million ($4.5 million) investment in </w:t>
      </w:r>
      <w:r>
        <w:rPr>
          <w:rFonts w:ascii="Times New Roman" w:hAnsi="Times New Roman"/>
          <w:i/>
          <w:color w:val="000000"/>
          <w:sz w:val="20"/>
        </w:rPr>
        <w:t xml:space="preserve">Mozart from Space </w:t>
      </w:r>
      <w:r>
        <w:rPr>
          <w:rFonts w:ascii="Times New Roman" w:hAnsi="Times New Roman"/>
          <w:color w:val="000000"/>
          <w:sz w:val="20"/>
        </w:rPr>
        <w:t>based on projected box office results and distribution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contributions to film investments were made in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23. Employee’s Pension and Postretirement Benefits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Defined Benefit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and 2022, the projected benefit obligation for SERP are as follows:</w:t>
      </w:r>
    </w:p>
    <w:tbl>
      <w:tblPr>
        <w:tblW w:w="6679" w:type="dxa"/>
        <w:jc w:val="left"/>
        <w:tblInd w:w="0" w:type="dxa"/>
        <w:tblLayout w:type="fixed"/>
        <w:tblCellMar>
          <w:top w:w="28" w:type="dxa"/>
          <w:left w:w="28" w:type="dxa"/>
          <w:bottom w:w="28" w:type="dxa"/>
          <w:right w:w="28" w:type="dxa"/>
        </w:tblCellMar>
      </w:tblPr>
      <w:tblGrid>
        <w:gridCol w:w="4056"/>
        <w:gridCol w:w="146"/>
        <w:gridCol w:w="211"/>
        <w:gridCol w:w="676"/>
        <w:gridCol w:w="146"/>
        <w:gridCol w:w="146"/>
        <w:gridCol w:w="211"/>
        <w:gridCol w:w="676"/>
        <w:gridCol w:w="41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Obligation,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loss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Obligation, end of period and unfunded status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2022, and 2021, the following amounts related to the SERP were recorded on the Company’s Consolidated Balance Sheets within Accumulated Other Comprehensive Loss and will be recognized as components of net periodic benefit cost in future periods:</w:t>
      </w:r>
    </w:p>
    <w:tbl>
      <w:tblPr>
        <w:tblW w:w="8761" w:type="dxa"/>
        <w:jc w:val="left"/>
        <w:tblInd w:w="0" w:type="dxa"/>
        <w:tblLayout w:type="fixed"/>
        <w:tblCellMar>
          <w:top w:w="28" w:type="dxa"/>
          <w:left w:w="28" w:type="dxa"/>
          <w:bottom w:w="28" w:type="dxa"/>
          <w:right w:w="28" w:type="dxa"/>
        </w:tblCellMar>
      </w:tblPr>
      <w:tblGrid>
        <w:gridCol w:w="4966"/>
        <w:gridCol w:w="146"/>
        <w:gridCol w:w="211"/>
        <w:gridCol w:w="146"/>
        <w:gridCol w:w="631"/>
        <w:gridCol w:w="166"/>
        <w:gridCol w:w="146"/>
        <w:gridCol w:w="211"/>
        <w:gridCol w:w="146"/>
        <w:gridCol w:w="631"/>
        <w:gridCol w:w="166"/>
        <w:gridCol w:w="146"/>
        <w:gridCol w:w="211"/>
        <w:gridCol w:w="146"/>
        <w:gridCol w:w="4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actuarial gain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prior 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costs to be recognized in future periods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the components of pension expense related to the SERP were as follows:</w:t>
      </w:r>
    </w:p>
    <w:tbl>
      <w:tblPr>
        <w:tblW w:w="6171" w:type="dxa"/>
        <w:jc w:val="left"/>
        <w:tblInd w:w="0" w:type="dxa"/>
        <w:tblLayout w:type="fixed"/>
        <w:tblCellMar>
          <w:top w:w="28" w:type="dxa"/>
          <w:left w:w="28" w:type="dxa"/>
          <w:bottom w:w="28" w:type="dxa"/>
          <w:right w:w="28" w:type="dxa"/>
        </w:tblCellMar>
      </w:tblPr>
      <w:tblGrid>
        <w:gridCol w:w="2836"/>
        <w:gridCol w:w="146"/>
        <w:gridCol w:w="211"/>
        <w:gridCol w:w="146"/>
        <w:gridCol w:w="481"/>
        <w:gridCol w:w="166"/>
        <w:gridCol w:w="146"/>
        <w:gridCol w:w="211"/>
        <w:gridCol w:w="146"/>
        <w:gridCol w:w="421"/>
        <w:gridCol w:w="146"/>
        <w:gridCol w:w="146"/>
        <w:gridCol w:w="211"/>
        <w:gridCol w:w="146"/>
        <w:gridCol w:w="42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assumptions were used to determine the SERP obligation and any related costs as of and for the years ended December 31, 2023, 2022, and 2021:</w:t>
      </w:r>
    </w:p>
    <w:tbl>
      <w:tblPr>
        <w:tblW w:w="6343" w:type="dxa"/>
        <w:jc w:val="left"/>
        <w:tblInd w:w="0" w:type="dxa"/>
        <w:tblLayout w:type="fixed"/>
        <w:tblCellMar>
          <w:top w:w="28" w:type="dxa"/>
          <w:left w:w="28" w:type="dxa"/>
          <w:bottom w:w="28" w:type="dxa"/>
          <w:right w:w="28" w:type="dxa"/>
        </w:tblCellMar>
      </w:tblPr>
      <w:tblGrid>
        <w:gridCol w:w="3136"/>
        <w:gridCol w:w="146"/>
        <w:gridCol w:w="146"/>
        <w:gridCol w:w="466"/>
        <w:gridCol w:w="271"/>
        <w:gridCol w:w="146"/>
        <w:gridCol w:w="146"/>
        <w:gridCol w:w="466"/>
        <w:gridCol w:w="271"/>
        <w:gridCol w:w="146"/>
        <w:gridCol w:w="146"/>
        <w:gridCol w:w="466"/>
        <w:gridCol w:w="3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Lump sum interest rate:</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 25 years</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 20 years</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vAlign w:val="center"/>
          </w:tcPr>
          <w:p>
            <w:pPr>
              <w:pStyle w:val="TableContents"/>
              <w:bidi w:val="0"/>
              <w:spacing w:before="0" w:after="283"/>
              <w:jc w:val="righ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living adjustment on benefits</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contributions were made for the SERP during 2023. The Company expects interest costs of $0.8 million to be recognized as a component of pension cost for the year ended December 31,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Defined Contribution Pension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maintains defined contribution plans for its employees, including its executive officers. The Company makes contributions to these plans on behalf of employees in an amount up to 5% of their base salary subject to certain prescribed maximums. During 2023, the Company contributed and recorded expense of $1.2 million (2022 — $1.1 million; 2021 — $1.1 million) to its Canadian plan and $0.8 million (2022 — $0.7 million; 2021 — $0.5 million) to its defined contribution employee plan under Section 401(k) of the U.S. Internal Revenue Code.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Postretirement Benefits - Executives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 or its equivalent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2023 and 2022, the Company’s Consolidated Balance Sheets include the following amounts within Accrued and Other Liabilities related to the Executive Postretirement Benefit Plan: </w:t>
      </w:r>
    </w:p>
    <w:p>
      <w:pPr>
        <w:pStyle w:val="TextBody"/>
        <w:bidi w:val="0"/>
        <w:jc w:val="both"/>
        <w:rPr/>
      </w:pPr>
      <w:r>
        <w:rPr/>
        <w:t> </w:t>
      </w:r>
    </w:p>
    <w:tbl>
      <w:tblPr>
        <w:tblW w:w="6161" w:type="dxa"/>
        <w:jc w:val="left"/>
        <w:tblInd w:w="0" w:type="dxa"/>
        <w:tblLayout w:type="fixed"/>
        <w:tblCellMar>
          <w:top w:w="28" w:type="dxa"/>
          <w:left w:w="28" w:type="dxa"/>
          <w:bottom w:w="28" w:type="dxa"/>
          <w:right w:w="28" w:type="dxa"/>
        </w:tblCellMar>
      </w:tblPr>
      <w:tblGrid>
        <w:gridCol w:w="3776"/>
        <w:gridCol w:w="146"/>
        <w:gridCol w:w="211"/>
        <w:gridCol w:w="146"/>
        <w:gridCol w:w="421"/>
        <w:gridCol w:w="166"/>
        <w:gridCol w:w="146"/>
        <w:gridCol w:w="211"/>
        <w:gridCol w:w="146"/>
        <w:gridCol w:w="481"/>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Obligation,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Actuarial loss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Obligation, end of year and unfunded status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2023, 2022, and 2021, the components of pension expense related to the Executive Postretirement Benefit Plan were as follows:</w:t>
      </w:r>
    </w:p>
    <w:p>
      <w:pPr>
        <w:pStyle w:val="TextBody"/>
        <w:bidi w:val="0"/>
        <w:jc w:val="both"/>
        <w:rPr/>
      </w:pPr>
      <w:r>
        <w:rPr/>
        <w:t> </w:t>
      </w:r>
    </w:p>
    <w:tbl>
      <w:tblPr>
        <w:tblW w:w="5208" w:type="dxa"/>
        <w:jc w:val="left"/>
        <w:tblInd w:w="0" w:type="dxa"/>
        <w:tblLayout w:type="fixed"/>
        <w:tblCellMar>
          <w:top w:w="28" w:type="dxa"/>
          <w:left w:w="28" w:type="dxa"/>
          <w:bottom w:w="28" w:type="dxa"/>
          <w:right w:w="28" w:type="dxa"/>
        </w:tblCellMar>
      </w:tblPr>
      <w:tblGrid>
        <w:gridCol w:w="2566"/>
        <w:gridCol w:w="146"/>
        <w:gridCol w:w="211"/>
        <w:gridCol w:w="376"/>
        <w:gridCol w:w="166"/>
        <w:gridCol w:w="146"/>
        <w:gridCol w:w="211"/>
        <w:gridCol w:w="346"/>
        <w:gridCol w:w="146"/>
        <w:gridCol w:w="146"/>
        <w:gridCol w:w="211"/>
        <w:gridCol w:w="34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2022, and 2021, the following amounts related to the Executive Postretirement Benefit Plan were recorded on the Company’s Consolidated Balance Sheets within Accumulated Other Comprehensive Loss and will be recognized as components of net pension cost in future periods:</w:t>
      </w:r>
    </w:p>
    <w:tbl>
      <w:tblPr>
        <w:tblW w:w="5173" w:type="dxa"/>
        <w:jc w:val="left"/>
        <w:tblInd w:w="0" w:type="dxa"/>
        <w:tblLayout w:type="fixed"/>
        <w:tblCellMar>
          <w:top w:w="28" w:type="dxa"/>
          <w:left w:w="28" w:type="dxa"/>
          <w:bottom w:w="28" w:type="dxa"/>
          <w:right w:w="28" w:type="dxa"/>
        </w:tblCellMar>
      </w:tblPr>
      <w:tblGrid>
        <w:gridCol w:w="2221"/>
        <w:gridCol w:w="146"/>
        <w:gridCol w:w="211"/>
        <w:gridCol w:w="481"/>
        <w:gridCol w:w="166"/>
        <w:gridCol w:w="146"/>
        <w:gridCol w:w="211"/>
        <w:gridCol w:w="481"/>
        <w:gridCol w:w="166"/>
        <w:gridCol w:w="146"/>
        <w:gridCol w:w="211"/>
        <w:gridCol w:w="376"/>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actuarial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2022, and 2021, the weighted average assumptions used to determine the benefit obligation related to the Executive Postretirement Benefit Plan are as follows:</w:t>
      </w:r>
    </w:p>
    <w:tbl>
      <w:tblPr>
        <w:tblW w:w="4333" w:type="dxa"/>
        <w:jc w:val="left"/>
        <w:tblInd w:w="0" w:type="dxa"/>
        <w:tblLayout w:type="fixed"/>
        <w:tblCellMar>
          <w:top w:w="28" w:type="dxa"/>
          <w:left w:w="28" w:type="dxa"/>
          <w:bottom w:w="28" w:type="dxa"/>
          <w:right w:w="28" w:type="dxa"/>
        </w:tblCellMar>
      </w:tblPr>
      <w:tblGrid>
        <w:gridCol w:w="1201"/>
        <w:gridCol w:w="146"/>
        <w:gridCol w:w="146"/>
        <w:gridCol w:w="466"/>
        <w:gridCol w:w="271"/>
        <w:gridCol w:w="146"/>
        <w:gridCol w:w="146"/>
        <w:gridCol w:w="466"/>
        <w:gridCol w:w="271"/>
        <w:gridCol w:w="146"/>
        <w:gridCol w:w="146"/>
        <w:gridCol w:w="46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2023, 2022, and 2021, the weighted average assumptions used to determine the net postretirement benefit expense related to the Executive Postretirement Benefit Plan are as follows:</w:t>
      </w:r>
    </w:p>
    <w:p>
      <w:pPr>
        <w:pStyle w:val="TextBody"/>
        <w:bidi w:val="0"/>
        <w:jc w:val="both"/>
        <w:rPr/>
      </w:pPr>
      <w:r>
        <w:rPr/>
        <w:t> </w:t>
      </w:r>
    </w:p>
    <w:tbl>
      <w:tblPr>
        <w:tblW w:w="4333" w:type="dxa"/>
        <w:jc w:val="left"/>
        <w:tblInd w:w="0" w:type="dxa"/>
        <w:tblLayout w:type="fixed"/>
        <w:tblCellMar>
          <w:top w:w="28" w:type="dxa"/>
          <w:left w:w="28" w:type="dxa"/>
          <w:bottom w:w="28" w:type="dxa"/>
          <w:right w:w="28" w:type="dxa"/>
        </w:tblCellMar>
      </w:tblPr>
      <w:tblGrid>
        <w:gridCol w:w="1201"/>
        <w:gridCol w:w="146"/>
        <w:gridCol w:w="146"/>
        <w:gridCol w:w="466"/>
        <w:gridCol w:w="271"/>
        <w:gridCol w:w="146"/>
        <w:gridCol w:w="146"/>
        <w:gridCol w:w="466"/>
        <w:gridCol w:w="271"/>
        <w:gridCol w:w="146"/>
        <w:gridCol w:w="146"/>
        <w:gridCol w:w="46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benefit payments are expected to be made as per the current plan assumptions for the Executive Postretirement Benefit Plan in each of the next five years and thereafter following the December 31, 2023 balance sheet date: </w:t>
      </w:r>
    </w:p>
    <w:tbl>
      <w:tblPr>
        <w:tblW w:w="3486" w:type="dxa"/>
        <w:jc w:val="left"/>
        <w:tblInd w:w="0" w:type="dxa"/>
        <w:tblLayout w:type="fixed"/>
        <w:tblCellMar>
          <w:top w:w="28" w:type="dxa"/>
          <w:left w:w="28" w:type="dxa"/>
          <w:bottom w:w="28" w:type="dxa"/>
          <w:right w:w="28" w:type="dxa"/>
        </w:tblCellMar>
      </w:tblPr>
      <w:tblGrid>
        <w:gridCol w:w="2221"/>
        <w:gridCol w:w="146"/>
        <w:gridCol w:w="211"/>
        <w:gridCol w:w="146"/>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(d)</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Postretirement Benefits – Canadian Employees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an unfunded postretirement plan for its Canadian employees meeting specific eligibility requirements (the “Canadian Postretirement Benefit Plan”). The Company will provide eligible participants, upon retirement, with health and welfare benefits.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of December 31, 2023 and 2022, the Company’s Consolidated Balance Sheets include the following amounts within Accrued and Other Liabilities related to the Canadian Postretirement Benefit Plan: </w:t>
      </w:r>
    </w:p>
    <w:tbl>
      <w:tblPr>
        <w:tblW w:w="6311" w:type="dxa"/>
        <w:jc w:val="left"/>
        <w:tblInd w:w="0" w:type="dxa"/>
        <w:tblLayout w:type="fixed"/>
        <w:tblCellMar>
          <w:top w:w="28" w:type="dxa"/>
          <w:left w:w="28" w:type="dxa"/>
          <w:bottom w:w="28" w:type="dxa"/>
          <w:right w:w="28" w:type="dxa"/>
        </w:tblCellMar>
      </w:tblPr>
      <w:tblGrid>
        <w:gridCol w:w="3776"/>
        <w:gridCol w:w="146"/>
        <w:gridCol w:w="211"/>
        <w:gridCol w:w="146"/>
        <w:gridCol w:w="481"/>
        <w:gridCol w:w="166"/>
        <w:gridCol w:w="146"/>
        <w:gridCol w:w="211"/>
        <w:gridCol w:w="146"/>
        <w:gridCol w:w="571"/>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Obligation,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Actuarial loss (gain)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foreign exchange loss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Obligation, end of year and unfunded status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In 2023, the actuarial loss was $nil.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years ended December 31, 2023, 2022, and 2021, the components of pension expense related to the Canadian Postretirement Benefit Plan were as follows:</w:t>
      </w:r>
    </w:p>
    <w:tbl>
      <w:tblPr>
        <w:tblW w:w="5208" w:type="dxa"/>
        <w:jc w:val="left"/>
        <w:tblInd w:w="0" w:type="dxa"/>
        <w:tblLayout w:type="fixed"/>
        <w:tblCellMar>
          <w:top w:w="28" w:type="dxa"/>
          <w:left w:w="28" w:type="dxa"/>
          <w:bottom w:w="28" w:type="dxa"/>
          <w:right w:w="28" w:type="dxa"/>
        </w:tblCellMar>
      </w:tblPr>
      <w:tblGrid>
        <w:gridCol w:w="2566"/>
        <w:gridCol w:w="146"/>
        <w:gridCol w:w="211"/>
        <w:gridCol w:w="376"/>
        <w:gridCol w:w="166"/>
        <w:gridCol w:w="146"/>
        <w:gridCol w:w="211"/>
        <w:gridCol w:w="346"/>
        <w:gridCol w:w="146"/>
        <w:gridCol w:w="146"/>
        <w:gridCol w:w="211"/>
        <w:gridCol w:w="34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expects interest costs of less than $0.1 million to be recognized as a component of benefit cost for the year ended December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2022, and 2021, the following amounts related to the Canadian Postretirement Benefit Plan were recorded on the Company’s Consolidated Balance Sheets within Accumulated Other Comprehensive Loss and will be recognized as components of net pension cost in future periods: </w:t>
      </w:r>
    </w:p>
    <w:p>
      <w:pPr>
        <w:pStyle w:val="TextBody"/>
        <w:bidi w:val="0"/>
        <w:jc w:val="both"/>
        <w:rPr/>
      </w:pPr>
      <w:r>
        <w:rPr/>
        <w:t> </w:t>
      </w:r>
    </w:p>
    <w:tbl>
      <w:tblPr>
        <w:tblW w:w="5618" w:type="dxa"/>
        <w:jc w:val="left"/>
        <w:tblInd w:w="0" w:type="dxa"/>
        <w:tblLayout w:type="fixed"/>
        <w:tblCellMar>
          <w:top w:w="28" w:type="dxa"/>
          <w:left w:w="28" w:type="dxa"/>
          <w:bottom w:w="28" w:type="dxa"/>
          <w:right w:w="28" w:type="dxa"/>
        </w:tblCellMar>
      </w:tblPr>
      <w:tblGrid>
        <w:gridCol w:w="2641"/>
        <w:gridCol w:w="146"/>
        <w:gridCol w:w="211"/>
        <w:gridCol w:w="481"/>
        <w:gridCol w:w="166"/>
        <w:gridCol w:w="146"/>
        <w:gridCol w:w="211"/>
        <w:gridCol w:w="481"/>
        <w:gridCol w:w="166"/>
        <w:gridCol w:w="146"/>
        <w:gridCol w:w="211"/>
        <w:gridCol w:w="42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actuarial (gain)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December 31, 2023, 2022, and 2021, the weighted average assumptions used to determine the benefit obligation related to the Canadian Postretirement Benefit Plan are as follows:</w:t>
      </w:r>
    </w:p>
    <w:p>
      <w:pPr>
        <w:pStyle w:val="TextBody"/>
        <w:bidi w:val="0"/>
        <w:jc w:val="both"/>
        <w:rPr/>
      </w:pPr>
      <w:r>
        <w:rPr/>
        <w:t> </w:t>
      </w:r>
    </w:p>
    <w:tbl>
      <w:tblPr>
        <w:tblW w:w="4333" w:type="dxa"/>
        <w:jc w:val="left"/>
        <w:tblInd w:w="0" w:type="dxa"/>
        <w:tblLayout w:type="fixed"/>
        <w:tblCellMar>
          <w:top w:w="28" w:type="dxa"/>
          <w:left w:w="28" w:type="dxa"/>
          <w:bottom w:w="28" w:type="dxa"/>
          <w:right w:w="28" w:type="dxa"/>
        </w:tblCellMar>
      </w:tblPr>
      <w:tblGrid>
        <w:gridCol w:w="1201"/>
        <w:gridCol w:w="146"/>
        <w:gridCol w:w="146"/>
        <w:gridCol w:w="466"/>
        <w:gridCol w:w="271"/>
        <w:gridCol w:w="146"/>
        <w:gridCol w:w="146"/>
        <w:gridCol w:w="466"/>
        <w:gridCol w:w="271"/>
        <w:gridCol w:w="146"/>
        <w:gridCol w:w="146"/>
        <w:gridCol w:w="46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2023, 2022, and 2021, the weighted average assumptions used to determine the net postretirement benefit expense related to the Canadian Postretirement Benefit Plan are as follows:</w:t>
      </w:r>
    </w:p>
    <w:p>
      <w:pPr>
        <w:pStyle w:val="TextBody"/>
        <w:bidi w:val="0"/>
        <w:jc w:val="both"/>
        <w:rPr/>
      </w:pPr>
      <w:r>
        <w:rPr/>
        <w:t> </w:t>
      </w:r>
    </w:p>
    <w:tbl>
      <w:tblPr>
        <w:tblW w:w="4333" w:type="dxa"/>
        <w:jc w:val="left"/>
        <w:tblInd w:w="0" w:type="dxa"/>
        <w:tblLayout w:type="fixed"/>
        <w:tblCellMar>
          <w:top w:w="28" w:type="dxa"/>
          <w:left w:w="28" w:type="dxa"/>
          <w:bottom w:w="28" w:type="dxa"/>
          <w:right w:w="28" w:type="dxa"/>
        </w:tblCellMar>
      </w:tblPr>
      <w:tblGrid>
        <w:gridCol w:w="1201"/>
        <w:gridCol w:w="146"/>
        <w:gridCol w:w="146"/>
        <w:gridCol w:w="466"/>
        <w:gridCol w:w="271"/>
        <w:gridCol w:w="146"/>
        <w:gridCol w:w="146"/>
        <w:gridCol w:w="466"/>
        <w:gridCol w:w="271"/>
        <w:gridCol w:w="146"/>
        <w:gridCol w:w="146"/>
        <w:gridCol w:w="46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benefit payments are expected to be made as per the current plan assumptions for the Canadian Postretirement Benefit Plan in each of the next five years and thereafter following the December 31, 2023 balance sheet date:</w:t>
      </w:r>
    </w:p>
    <w:tbl>
      <w:tblPr>
        <w:tblW w:w="3340" w:type="dxa"/>
        <w:jc w:val="left"/>
        <w:tblInd w:w="0" w:type="dxa"/>
        <w:tblLayout w:type="fixed"/>
        <w:tblCellMar>
          <w:top w:w="28" w:type="dxa"/>
          <w:left w:w="28" w:type="dxa"/>
          <w:bottom w:w="28" w:type="dxa"/>
          <w:right w:w="28" w:type="dxa"/>
        </w:tblCellMar>
      </w:tblPr>
      <w:tblGrid>
        <w:gridCol w:w="2221"/>
        <w:gridCol w:w="146"/>
        <w:gridCol w:w="211"/>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Deferred Compensation Benefit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benefit obligation related to the Retirement Plan was $4.1 million (December 31, 2022 — $3.9 million) and is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Retirement Plan is funded by an investment in company-owned life insurance (“COLI”), which is recorded at its fair value on the Company’s Consolidated Balance Sheets within Prepaid Expenses. As of December 31, 2023, fair value of the COLI asset was $3.5 million (December 31, 2022 — $3.4 million). Gains and losses resulting from changes in the cash surrender value of the COLI asset are recognized in the Consolidated Statements of Operations within Realized and Unrealized Investment Gains (Losses).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24. Government Assistance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COVID-19 Relief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2023, the Company did not recognize any benefits from COVID relief legislation.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2022, the Company applied for and received financial support under COVID relief legislation that had been enacted in the countries in which it operates. The Company recognized $0.4 million (2021 — $3.8 million) in benefits principally from the Hardest-Hit Businesses Recovery program, and recorded such amounts as reductions to Selling, General and Administrative Expenses ($0.3 million) and Costs and Expenses Applicable to Revenues ($0.1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2021, the Company recognized $3.8 million in benefits from various COVID-19 government relief programs, principally the Canada Emergency Wage Subsidy program, which expired in October 2021. The Company recognized these benefits as a reduction to Selling, General and Administrative Expenses ($2.9 million) and to Costs and Expenses Applicable to Revenues ($0.9 million).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Federal Economic Development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Refer to Note 14, Borrowings.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China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IMAX China receives local district grants primarily related to taxes paid, including corporate income taxes, value-added taxes, individual income taxes, and withholding taxes for dividends and/or cross-border activities. Government grants are recognized in the period the costs were incurred.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2023, $5.4 million was recognized primarily as a reduction in Costs and Expenses Applicable to Revenues and Income Tax Expense. The impact to net income attributable to common shareholders was $3.4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years ended December 2022 and 2021, $1.3 million and $2.7 million was recognized primarily as a reduction in Costs and Expenses Applicable to Revenues and Income Tax Expense, respectively. The impact to net income attributable to common shareholders of $0.8 million and $1.7 million for the years ended December 2022 and 2021,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25. Non-Controlling Interests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IMAX China Non-Controlling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indirectly owns 71.55% of IMAX China, whose shares trade on the Hong Kong Stock Exchange (December 31, 2022 — 71.73%). IMAX China remains a consolidated subsidiary of the Company. The balance of non-controlling interest in IMAX China as of December 31, 2023 is $71.8 million (December 31, 2022 — $65.7 million). The net income attributable to non-controlling interest of IMAX China for the year ended December 31, 2023 is $7.8 million (2022 — $3.0 million; 2021 — $12.8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Non-Controlling Interests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2023, the Original Film Fund has invested $22.3 million toward the development of original films. The related production, financing and distribution agreement includes put and call rights relating to change of control of the rights, title and interest in the co-financed pictures.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Non-Controlling Interest in Temporary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movement of the non-controlling interest in temporary equity, in the Original Film Fund for the years ended December 31, 2023, 2022 and 2021:</w:t>
      </w:r>
    </w:p>
    <w:p>
      <w:pPr>
        <w:pStyle w:val="TextBody"/>
        <w:bidi w:val="0"/>
        <w:jc w:val="both"/>
        <w:rPr/>
      </w:pPr>
      <w:r>
        <w:rPr/>
        <w:t> </w:t>
      </w:r>
    </w:p>
    <w:tbl>
      <w:tblPr>
        <w:tblW w:w="3810" w:type="dxa"/>
        <w:jc w:val="left"/>
        <w:tblInd w:w="0" w:type="dxa"/>
        <w:tblLayout w:type="fixed"/>
        <w:tblCellMar>
          <w:top w:w="28" w:type="dxa"/>
          <w:left w:w="28" w:type="dxa"/>
          <w:bottom w:w="28" w:type="dxa"/>
          <w:right w:w="28" w:type="dxa"/>
        </w:tblCellMar>
      </w:tblPr>
      <w:tblGrid>
        <w:gridCol w:w="2821"/>
        <w:gridCol w:w="146"/>
        <w:gridCol w:w="211"/>
        <w:gridCol w:w="42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 Dollars)</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2021</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2021</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26. Restructuring and Executive Transition Costs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2023, the Company and the President, IMAX Entertainment and Executive Vice President of the Company, (the “President”) agreed to conclude the President’s employment with the Company, effective April 30, 2023. Pursuant to the employment agreement between the Company and the President, dated as of October 10, 2018, and the letter agreement between the Company and the President, dated as of March 15, 2023, the Company recognized executive transition costs of $1.4 million associated with the departure of the President. The costs included severance of $1.6 million, transition services covering three months of $0.8 million, and the reversal of previously recognized share-based compensation costs of $1.0 million for PSU forfeitures.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2023, the Company incurred $1.3 million in connection with the restructuring of other employees to capture efficiencies and centralize certain operational roles. These charges have been recognized in Restructuring and Executive Transition costs on the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27. Related Party Transactions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January 13, 2023, the Company, China International Communications Group (“CICG”), and Beach House Pictures Pte Ltd (“Beach House”) entered into an agreement to co-finance a documentary film, </w:t>
      </w:r>
      <w:r>
        <w:rPr>
          <w:rFonts w:ascii="Times New Roman" w:hAnsi="Times New Roman"/>
          <w:i/>
          <w:color w:val="000000"/>
          <w:sz w:val="20"/>
        </w:rPr>
        <w:t>The Elephant Odyssey</w:t>
      </w:r>
      <w:r>
        <w:rPr>
          <w:rFonts w:ascii="Times New Roman" w:hAnsi="Times New Roman"/>
          <w:color w:val="000000"/>
          <w:sz w:val="20"/>
        </w:rPr>
        <w:t xml:space="preserve">. A member of the Company’s Board of Directors and its Audit Committee, is the ultimate controlling shareholder of Blue Ant Media (“Blue Ant”), a media company which he co-founded in 2011. Blue Ant owns 70% of Beach House. The total budget for the film is approximately $2.6 million, of which CICG is responsible for $0.3 million or 10%. The Company and Beach House have agreed to finance $1.7 million or 75% and $0.6 million or 25% of the remaining budget, respectively. As of December 31, 2023, the Company has made payments of $1.0 million under the agreement. On February 8, 2024, Blue Ant sold 100% of its interest in Beach House.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6" w:name="item_9_changes_in_disagreements_with_acc"/>
      <w:bookmarkEnd w:id="26"/>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sz w:val="20"/>
        </w:rPr>
      </w:pPr>
      <w:bookmarkStart w:id="27" w:name="item_9a_controls_procedures"/>
      <w:bookmarkEnd w:id="27"/>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20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management, with the participation of its CEO and its CFO, has evaluated the effectiveness of the Company’s “disclosure controls and procedures” (as defined in the Securities Exchange Act of 1934 Rules 13a-15(e) or 15d-15(e)) as of December 31, 2023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for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has used the Committee of Sponsoring Organizations of the Treadway Commission (“COSO”) framework in Internal Control-Integrated Framework (2013) to assess the effectiveness of the Company’s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 has assessed the effectiveness of the Company’s internal control over financial reporting and has concluded that such internal control over financial reporting were effective as of December 31,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PricewaterhouseCoopers LLP, an independent registered public accounting firm, audited the effectiveness of the Company’s internal control over financial reporting as of December 31, 2023, as stated in their report, which appears in Part II, Item 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which occurred during the three months ended December 31, 2023, that have materially affected, or are reasonably likely to materially affect, the Company’s internal control over financial reporting. </w:t>
      </w:r>
    </w:p>
    <w:p>
      <w:pPr>
        <w:pStyle w:val="TextBody"/>
        <w:bidi w:val="0"/>
        <w:jc w:val="left"/>
        <w:rPr/>
      </w:pPr>
      <w:r>
        <w:rPr/>
        <w:t> </w:t>
      </w:r>
    </w:p>
    <w:p>
      <w:pPr>
        <w:pStyle w:val="TextBody"/>
        <w:bidi w:val="0"/>
        <w:jc w:val="left"/>
        <w:rPr>
          <w:rFonts w:ascii="Times New Roman" w:hAnsi="Times New Roman"/>
          <w:sz w:val="20"/>
        </w:rPr>
      </w:pPr>
      <w:bookmarkStart w:id="28" w:name="item_9c_other_information"/>
      <w:bookmarkEnd w:id="28"/>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None</w:t>
      </w:r>
      <w:r>
        <w:rPr>
          <w:color w:val="000000"/>
        </w:rPr>
        <w:t xml:space="preserve"> </w:t>
      </w:r>
      <w:r>
        <w:rPr>
          <w:rFonts w:ascii="Times New Roman" w:hAnsi="Times New Roman"/>
          <w:color w:val="000000"/>
          <w:sz w:val="20"/>
        </w:rPr>
        <w:t xml:space="preserve">of the Company’s directors or officers adopted, modified, or terminated a Rule 10b5-1 trading arrangement or a non-Rule 10b5-1 trading arrangement during the Company’s fiscal quarter ended December 31, 2023. </w:t>
      </w:r>
    </w:p>
    <w:p>
      <w:pPr>
        <w:pStyle w:val="TextBody"/>
        <w:bidi w:val="0"/>
        <w:spacing w:before="200" w:after="283"/>
        <w:jc w:val="left"/>
        <w:rPr>
          <w:rFonts w:ascii="Times New Roman" w:hAnsi="Times New Roman"/>
          <w:sz w:val="20"/>
        </w:rPr>
      </w:pPr>
      <w:bookmarkStart w:id="29" w:name="item_9c_disclosure_foreign_jurisdictions"/>
      <w:bookmarkEnd w:id="29"/>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i/>
          <w:color w:val="000000"/>
          <w:sz w:val="20"/>
        </w:rPr>
        <w:t>Disclosure Regarding Foreign Jurisdictions that Prevent Inspections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part_iii"/>
      <w:bookmarkEnd w:id="30"/>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1" w:name="item_10_directors_executive_ficers_corpo"/>
      <w:bookmarkEnd w:id="31"/>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Item 10 is incorporated by reference from the information under the following captions in the Company’s Proxy Statement: “Item No. 1 – Election of Directors;” “Executive Officers;” “Delinquent Section 16(a) Reports;” “Code of Business Conduct and Ethics and Insider Trading Policy;” and “Corporate Governance.”</w:t>
      </w:r>
    </w:p>
    <w:p>
      <w:pPr>
        <w:pStyle w:val="TextBody"/>
        <w:bidi w:val="0"/>
        <w:spacing w:before="200" w:after="283"/>
        <w:jc w:val="left"/>
        <w:rPr>
          <w:rFonts w:ascii="Times New Roman" w:hAnsi="Times New Roman"/>
          <w:sz w:val="20"/>
        </w:rPr>
      </w:pPr>
      <w:bookmarkStart w:id="32" w:name="item_11_executive_compensation"/>
      <w:bookmarkEnd w:id="32"/>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Item 11 is incorporated by reference from the information under the following captions in the Company’s Proxy Statement: “Compensation Discussion and Analysis;” "Compensation Committee Report;" “Summary Compensation Table;” “Grants of Plan-Based Awards;” “Outstanding Equity Awards at Fiscal Year-End;” “Option Exercise and Stock Vested;” “Pension Benefits;” “Pay Ratio Disclosure;” “Potential Payments upon Termination or Change-in-Control;” "Pay Versus Performance;" “Compensation of Directors;” and “Compensation Committee Interlocks and Insider Participation.”</w:t>
      </w:r>
    </w:p>
    <w:p>
      <w:pPr>
        <w:pStyle w:val="TextBody"/>
        <w:bidi w:val="0"/>
        <w:spacing w:before="200" w:after="283"/>
        <w:jc w:val="left"/>
        <w:rPr>
          <w:rFonts w:ascii="Times New Roman" w:hAnsi="Times New Roman"/>
          <w:sz w:val="20"/>
        </w:rPr>
      </w:pPr>
      <w:bookmarkStart w:id="33" w:name="item_12_security_ownership_certain_benef"/>
      <w:bookmarkEnd w:id="33"/>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Item 12 is incorporated by reference from the information under the following captions in the Company’s Proxy Statement: “Equity Compensation Plans;” “Principal Shareholders of Voting Shares;” and “Security Ownership of Directors and Management.”</w:t>
      </w:r>
    </w:p>
    <w:p>
      <w:pPr>
        <w:pStyle w:val="TextBody"/>
        <w:bidi w:val="0"/>
        <w:spacing w:before="200" w:after="283"/>
        <w:jc w:val="left"/>
        <w:rPr>
          <w:rFonts w:ascii="Times New Roman" w:hAnsi="Times New Roman"/>
          <w:sz w:val="20"/>
        </w:rPr>
      </w:pPr>
      <w:bookmarkStart w:id="34" w:name="item_13_certain_relationships_related_tr"/>
      <w:bookmarkEnd w:id="34"/>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 Transactions, and Director Independence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Item 13 is incorporated by reference from the information under the following caption in the Company’s Proxy Statement: “Certain Relationships and Related Transactions,” “Review, Approval or Ratification of Transactions with Related Persons,” and “Director Independence.”</w:t>
      </w:r>
    </w:p>
    <w:p>
      <w:pPr>
        <w:pStyle w:val="TextBody"/>
        <w:bidi w:val="0"/>
        <w:spacing w:before="200" w:after="283"/>
        <w:jc w:val="left"/>
        <w:rPr>
          <w:rFonts w:ascii="Times New Roman" w:hAnsi="Times New Roman"/>
          <w:sz w:val="20"/>
        </w:rPr>
      </w:pPr>
      <w:bookmarkStart w:id="35" w:name="item_14_principal_accounting_fees_servic"/>
      <w:bookmarkEnd w:id="35"/>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Accounting Fees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Item 14 is incorporated by reference from the information under the following captions in the Company’s Proxy Statement: “Audit Fees;” “Audit-Related Fees;” “Tax Fees;” “All Other Fees;” and “Audit Committee’s Pre-Approval Policies and Procedures.”</w:t>
      </w:r>
    </w:p>
    <w:p>
      <w:pPr>
        <w:pStyle w:val="TextBody"/>
        <w:bidi w:val="0"/>
        <w:jc w:val="center"/>
        <w:rPr>
          <w:rFonts w:ascii="Times New Roman" w:hAnsi="Times New Roman"/>
          <w:sz w:val="20"/>
        </w:rPr>
      </w:pPr>
      <w:bookmarkStart w:id="36" w:name="part_iv"/>
      <w:bookmarkEnd w:id="36"/>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7" w:name="item_15_exhibits_financial_statement_sch"/>
      <w:bookmarkEnd w:id="37"/>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Exhibits and Financial Statement Schedules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 Financial Statements and Schedules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Consolidated Financial Statements filed as part of this Report are included under Item 8 in Part II. Financial Statement Schedules have been omitted since they either are not required, not applicable, or the information required is included in the financial statements or the accompanying notes thereto.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Report of Independent Registered Public Accounting Firm, which covers the financial statements, the accompanying notes to the financial statements and the Company’s internal control over financial reporting, is included under Part II, Item 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6140"/>
        <w:gridCol w:w="146"/>
        <w:gridCol w:w="511"/>
        <w:gridCol w:w="146"/>
        <w:gridCol w:w="790"/>
        <w:gridCol w:w="146"/>
        <w:gridCol w:w="631"/>
        <w:gridCol w:w="146"/>
        <w:gridCol w:w="712"/>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4">
              <w:r>
                <w:rPr>
                  <w:rStyle w:val="InternetLink"/>
                  <w:rFonts w:ascii="Times New Roman" w:hAnsi="Times New Roman"/>
                  <w:color w:val="0000CC"/>
                  <w:sz w:val="20"/>
                  <w:u w:val="single"/>
                </w:rPr>
                <w:t>Restated Articles of Incorporation of IMAX Corporation, dated July 30, 2013.</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10/24/13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5">
              <w:r>
                <w:rPr>
                  <w:rStyle w:val="InternetLink"/>
                  <w:rFonts w:ascii="Times New Roman" w:hAnsi="Times New Roman"/>
                  <w:color w:val="0000CC"/>
                  <w:sz w:val="20"/>
                  <w:u w:val="single"/>
                </w:rPr>
                <w:t>Second Amended and Restated By-Law No. 1 of IMAX Corporation, enacted on February 7, 2023.</w:t>
              </w:r>
            </w:hyperlink>
            <w:hyperlink r:id="rId6">
              <w:r>
                <w:rPr>
                  <w:rStyle w:val="InternetLink"/>
                  <w:rFonts w:ascii="Times New Roman" w:hAnsi="Times New Roman"/>
                  <w:color w:val="0000CC"/>
                  <w:sz w:val="20"/>
                </w:rPr>
                <w:t xml:space="preserve"> </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02/10/23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7">
              <w:r>
                <w:rPr>
                  <w:rStyle w:val="InternetLink"/>
                  <w:rFonts w:ascii="Times New Roman" w:hAnsi="Times New Roman"/>
                  <w:color w:val="0000CC"/>
                  <w:sz w:val="20"/>
                  <w:u w:val="single"/>
                </w:rPr>
                <w:t>Description of IMAX Corporation’s Securities Registered Pursuant to Section 12 of the Securities Exchange Act of 1934.</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2/19/20</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8">
              <w:r>
                <w:rPr>
                  <w:rStyle w:val="InternetLink"/>
                  <w:rFonts w:ascii="Times New Roman" w:hAnsi="Times New Roman"/>
                  <w:color w:val="0000CC"/>
                  <w:sz w:val="20"/>
                  <w:u w:val="single"/>
                </w:rPr>
                <w:t>Indenture, dated as of March 19, 2021, between IMAX Corporation and U.S. Bank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9">
              <w:r>
                <w:rPr>
                  <w:rStyle w:val="InternetLink"/>
                  <w:rFonts w:ascii="Times New Roman" w:hAnsi="Times New Roman"/>
                  <w:color w:val="0000CC"/>
                  <w:sz w:val="20"/>
                  <w:u w:val="single"/>
                </w:rPr>
                <w:t>Form of 0.500% Convertible Senior Notes due April 1, 2026 (included as Exhibit A to Exhibit 4.3)</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0">
              <w:r>
                <w:rPr>
                  <w:rStyle w:val="InternetLink"/>
                  <w:rFonts w:ascii="Times New Roman" w:hAnsi="Times New Roman"/>
                  <w:color w:val="0000CC"/>
                  <w:sz w:val="20"/>
                  <w:u w:val="single"/>
                </w:rPr>
                <w:t>Stock Option Plan of IMAX Corporation, dated June 18, 2008.</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2/24/16</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1">
              <w:r>
                <w:rPr>
                  <w:rStyle w:val="InternetLink"/>
                  <w:rFonts w:ascii="Times New Roman" w:hAnsi="Times New Roman"/>
                  <w:color w:val="0000CC"/>
                  <w:sz w:val="20"/>
                  <w:u w:val="single"/>
                </w:rPr>
                <w:t>IMAX Corporation Form of Restricted Stock Unit Award Agreement.</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2/19/20</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2">
              <w:r>
                <w:rPr>
                  <w:rStyle w:val="InternetLink"/>
                  <w:rFonts w:ascii="Times New Roman" w:hAnsi="Times New Roman"/>
                  <w:color w:val="0000CC"/>
                  <w:sz w:val="20"/>
                  <w:u w:val="single"/>
                </w:rPr>
                <w:t>IMAX Corporation Second Amended and Restated Long-Term Incentive Plan, dated June 3, 2020.</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No.1 to Second Amended and Restated Long-Term Incentive Plan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06/14/23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4">
              <w:r>
                <w:rPr>
                  <w:rStyle w:val="InternetLink"/>
                  <w:rFonts w:ascii="Times New Roman" w:hAnsi="Times New Roman"/>
                  <w:color w:val="0000CC"/>
                  <w:sz w:val="20"/>
                  <w:u w:val="single"/>
                </w:rPr>
                <w:t>Form of IMAX Corporation Second Amended and Restated Long-Term Incentive Plan Restricted Stock Unit Award Agreement.</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5">
              <w:r>
                <w:rPr>
                  <w:rStyle w:val="InternetLink"/>
                  <w:rFonts w:ascii="Times New Roman" w:hAnsi="Times New Roman"/>
                  <w:color w:val="0000CC"/>
                  <w:sz w:val="20"/>
                  <w:u w:val="single"/>
                </w:rPr>
                <w:t>Form of IMAX Second Amended and Restated Long-Term Incentive Plan Performance Stock Unit Award Agreement.</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6">
              <w:r>
                <w:rPr>
                  <w:rStyle w:val="InternetLink"/>
                  <w:rFonts w:ascii="Times New Roman" w:hAnsi="Times New Roman"/>
                  <w:color w:val="0000CC"/>
                  <w:sz w:val="20"/>
                  <w:u w:val="single"/>
                </w:rPr>
                <w:t>Form of IMAX Corporation Second Amended and Restated Long-Term Incentive Plan Restricted Stock Unit Award Agreement for Non-employee Directors.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7/27/21</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7">
              <w:r>
                <w:rPr>
                  <w:rStyle w:val="InternetLink"/>
                  <w:rFonts w:ascii="Times New Roman" w:hAnsi="Times New Roman"/>
                  <w:color w:val="0000CC"/>
                  <w:sz w:val="20"/>
                  <w:u w:val="single"/>
                </w:rPr>
                <w:t>IMAX Corporation Supplemental Executive Retirement Plan, as amended and restated as of January 1, 2006.</w:t>
              </w:r>
            </w:hyperlink>
            <w:r>
              <w:rPr>
                <w:rFonts w:ascii="Times New Roman" w:hAnsi="Times New Roman"/>
                <w:color w:val="0000CC"/>
                <w:sz w:val="20"/>
              </w:rPr>
              <w:t xml:space="preserve">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2/21/13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8">
              <w:r>
                <w:rPr>
                  <w:rStyle w:val="InternetLink"/>
                  <w:rFonts w:ascii="Times New Roman" w:hAnsi="Times New Roman"/>
                  <w:color w:val="0000CC"/>
                  <w:sz w:val="20"/>
                  <w:u w:val="single"/>
                </w:rPr>
                <w:t>Employment Agreement, dated July 1, 1998,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2/21/13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19">
              <w:r>
                <w:rPr>
                  <w:rStyle w:val="InternetLink"/>
                  <w:rFonts w:ascii="Times New Roman" w:hAnsi="Times New Roman"/>
                  <w:color w:val="0000CC"/>
                  <w:sz w:val="20"/>
                  <w:u w:val="single"/>
                </w:rPr>
                <w:t>Amended Employment Agreement, dated July 12, 2000,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2/21/13</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0">
              <w:r>
                <w:rPr>
                  <w:rStyle w:val="InternetLink"/>
                  <w:rFonts w:ascii="Times New Roman" w:hAnsi="Times New Roman"/>
                  <w:color w:val="0000CC"/>
                  <w:sz w:val="20"/>
                  <w:u w:val="single"/>
                </w:rPr>
                <w:t>Amended Employment Agreement, dated March 8, 2006,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2/24/12</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1">
              <w:r>
                <w:rPr>
                  <w:rStyle w:val="InternetLink"/>
                  <w:rFonts w:ascii="Times New Roman" w:hAnsi="Times New Roman"/>
                  <w:color w:val="0000CC"/>
                  <w:sz w:val="20"/>
                  <w:u w:val="single"/>
                </w:rPr>
                <w:t>Amended Employment Agreement, dated February 15, 2007,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2/24/12</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2">
              <w:r>
                <w:rPr>
                  <w:rStyle w:val="InternetLink"/>
                  <w:rFonts w:ascii="Times New Roman" w:hAnsi="Times New Roman"/>
                  <w:color w:val="0000CC"/>
                  <w:sz w:val="20"/>
                  <w:u w:val="single"/>
                </w:rPr>
                <w:t>Amended Employment Agreement, dated December 31, 2007,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2/20/14</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3">
              <w:r>
                <w:rPr>
                  <w:rStyle w:val="InternetLink"/>
                  <w:rFonts w:ascii="Times New Roman" w:hAnsi="Times New Roman"/>
                  <w:color w:val="0000CC"/>
                  <w:sz w:val="20"/>
                  <w:u w:val="single"/>
                </w:rPr>
                <w:t>Amended Employment Agreement, dated December 11, 2008,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2/19/15</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4">
              <w:r>
                <w:rPr>
                  <w:rStyle w:val="InternetLink"/>
                  <w:rFonts w:ascii="Times New Roman" w:hAnsi="Times New Roman"/>
                  <w:color w:val="0000CC"/>
                  <w:sz w:val="20"/>
                  <w:u w:val="single"/>
                </w:rPr>
                <w:t>Amended Employment Agreement, dated December 20, 2010,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2/24/16</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r>
        <w:trPr/>
        <w:tc>
          <w:tcPr>
            <w:tcW w:w="6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hyperlink r:id="rId25">
              <w:r>
                <w:rPr>
                  <w:rStyle w:val="InternetLink"/>
                  <w:rFonts w:ascii="Times New Roman" w:hAnsi="Times New Roman"/>
                  <w:color w:val="0000CC"/>
                  <w:sz w:val="20"/>
                  <w:u w:val="single"/>
                </w:rPr>
                <w:t>Amended Employment Agreement, dated December 12, 2011,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2/24/12</w:t>
            </w:r>
          </w:p>
        </w:tc>
      </w:tr>
      <w:tr>
        <w:trPr/>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6"/>
        <w:gridCol w:w="146"/>
        <w:gridCol w:w="6153"/>
        <w:gridCol w:w="146"/>
        <w:gridCol w:w="511"/>
        <w:gridCol w:w="146"/>
        <w:gridCol w:w="727"/>
        <w:gridCol w:w="146"/>
        <w:gridCol w:w="631"/>
        <w:gridCol w:w="146"/>
        <w:gridCol w:w="657"/>
      </w:tblGrid>
      <w:tr>
        <w:trPr/>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5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shd w:fill="FFFFFF" w:val="clear"/>
            <w:vAlign w:val="center"/>
          </w:tcPr>
          <w:p>
            <w:pPr>
              <w:pStyle w:val="TableContents"/>
              <w:bidi w:val="0"/>
              <w:spacing w:before="0" w:after="283"/>
              <w:jc w:val="left"/>
              <w:rPr>
                <w:sz w:val="4"/>
                <w:szCs w:val="4"/>
              </w:rPr>
            </w:pPr>
            <w:r>
              <w:rPr>
                <w:sz w:val="4"/>
                <w:szCs w:val="4"/>
              </w:rPr>
            </w:r>
          </w:p>
        </w:tc>
      </w:tr>
      <w:tr>
        <w:trPr/>
        <w:tc>
          <w:tcPr>
            <w:tcW w:w="79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26">
              <w:r>
                <w:rPr>
                  <w:rStyle w:val="InternetLink"/>
                  <w:rFonts w:ascii="Times New Roman" w:hAnsi="Times New Roman"/>
                  <w:color w:val="0000CC"/>
                  <w:sz w:val="20"/>
                  <w:u w:val="single"/>
                </w:rPr>
                <w:t>Employment Agreement, dated January 1, 2014,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10/23/14</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27">
              <w:r>
                <w:rPr>
                  <w:rStyle w:val="InternetLink"/>
                  <w:rFonts w:ascii="Times New Roman" w:hAnsi="Times New Roman"/>
                  <w:color w:val="0000CC"/>
                  <w:sz w:val="20"/>
                  <w:u w:val="single"/>
                </w:rPr>
                <w:t>First Amending Agreement, dated December 9, 2015,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2/24/16</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28">
              <w:r>
                <w:rPr>
                  <w:rStyle w:val="InternetLink"/>
                  <w:rFonts w:ascii="Times New Roman" w:hAnsi="Times New Roman"/>
                  <w:color w:val="0000CC"/>
                  <w:sz w:val="20"/>
                  <w:u w:val="single"/>
                </w:rPr>
                <w:t>Employment Agreement, dated November 8, 2016,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2/23/17</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29">
              <w:r>
                <w:rPr>
                  <w:rStyle w:val="InternetLink"/>
                  <w:rFonts w:ascii="Times New Roman" w:hAnsi="Times New Roman"/>
                  <w:color w:val="0000CC"/>
                  <w:sz w:val="20"/>
                  <w:u w:val="single"/>
                </w:rPr>
                <w:t>Amendment to Employment Agreement, dated November 1, 2019,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2/19/20</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0">
              <w:r>
                <w:rPr>
                  <w:rStyle w:val="InternetLink"/>
                  <w:rFonts w:ascii="Times New Roman" w:hAnsi="Times New Roman"/>
                  <w:color w:val="0000CC"/>
                  <w:sz w:val="20"/>
                  <w:u w:val="single"/>
                </w:rPr>
                <w:t>Second Amendment to Employment Agreement, dated as of September 19, 2022, between IMAX Corporation and Richard L. Gelfond.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10/31/22</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1">
              <w:r>
                <w:rPr>
                  <w:rStyle w:val="InternetLink"/>
                  <w:rFonts w:ascii="Times New Roman" w:hAnsi="Times New Roman"/>
                  <w:color w:val="0000CC"/>
                  <w:sz w:val="20"/>
                  <w:u w:val="single"/>
                </w:rPr>
                <w:t>Employment Agreement, dated December 18, 2017, between IMAX Corporation and Robert D. Lister.</w:t>
              </w:r>
            </w:hyperlink>
            <w:r>
              <w:rPr>
                <w:rFonts w:ascii="Times New Roman" w:hAnsi="Times New Roman"/>
                <w:color w:val="0000CC"/>
                <w:sz w:val="20"/>
              </w:rPr>
              <w:t xml:space="preserve">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2/27/18</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2">
              <w:r>
                <w:rPr>
                  <w:rStyle w:val="InternetLink"/>
                  <w:rFonts w:ascii="Times New Roman" w:hAnsi="Times New Roman"/>
                  <w:color w:val="0000CC"/>
                  <w:sz w:val="20"/>
                  <w:u w:val="single"/>
                </w:rPr>
                <w:t>First Amending Agreement, dated March 11, 2020, between IMAX Corporation and Robert D. Lister.</w:t>
              </w:r>
            </w:hyperlink>
            <w:r>
              <w:rPr>
                <w:rFonts w:ascii="Times New Roman" w:hAnsi="Times New Roman"/>
                <w:color w:val="0000CC"/>
                <w:sz w:val="20"/>
              </w:rPr>
              <w:t xml:space="preserve">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10.47</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4/30/20</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w:anchor="imax-ex10_24.htm">
              <w:r>
                <w:rPr>
                  <w:rStyle w:val="InternetLink"/>
                  <w:rFonts w:ascii="Times New Roman" w:hAnsi="Times New Roman"/>
                  <w:color w:val="0000CC"/>
                  <w:sz w:val="20"/>
                  <w:u w:val="single"/>
                </w:rPr>
                <w:t>Second Amending Agreement, dated as of October 20, 2023, between IMAX Corporation and Robert D. Lister</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3">
              <w:r>
                <w:rPr>
                  <w:rStyle w:val="InternetLink"/>
                  <w:rFonts w:ascii="Times New Roman" w:hAnsi="Times New Roman"/>
                  <w:color w:val="0000CC"/>
                  <w:sz w:val="20"/>
                  <w:u w:val="single"/>
                </w:rPr>
                <w:t>Employment Agreement, dated October 10, 2018, between IMAX Corporation and Megan Colligan.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10.48</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7/28/20</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4">
              <w:r>
                <w:rPr>
                  <w:rStyle w:val="InternetLink"/>
                  <w:rFonts w:ascii="Times New Roman" w:hAnsi="Times New Roman"/>
                  <w:color w:val="0000CC"/>
                  <w:sz w:val="20"/>
                  <w:u w:val="single"/>
                </w:rPr>
                <w:t>Employment Memorandum, dated September 18, 2020, between IMAX Corporation and Mark Welton.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10.52</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10/29/20</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5">
              <w:r>
                <w:rPr>
                  <w:rStyle w:val="InternetLink"/>
                  <w:rFonts w:ascii="Times New Roman" w:hAnsi="Times New Roman"/>
                  <w:color w:val="0000CC"/>
                  <w:sz w:val="20"/>
                  <w:u w:val="single"/>
                </w:rPr>
                <w:t>Amendment to Employment Memorandum, dated October 13, 2021, between IMAX Corporation and Mark Welton.</w:t>
              </w:r>
            </w:hyperlink>
            <w:hyperlink r:id="rId36">
              <w:r>
                <w:rPr>
                  <w:rStyle w:val="InternetLink"/>
                  <w:rFonts w:ascii="Times New Roman" w:hAnsi="Times New Roman"/>
                  <w:color w:val="0000CC"/>
                  <w:sz w:val="20"/>
                </w:rPr>
                <w:t xml:space="preserve"> </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02/24/22</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7">
              <w:r>
                <w:rPr>
                  <w:rStyle w:val="InternetLink"/>
                  <w:rFonts w:ascii="Times New Roman" w:hAnsi="Times New Roman"/>
                  <w:color w:val="0000CC"/>
                  <w:sz w:val="20"/>
                  <w:u w:val="single"/>
                </w:rPr>
                <w:t>Offer Letter, effective May 14, 2021, between IMAX Corporation and Joseph Sparacio.</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07/27/21</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8">
              <w:r>
                <w:rPr>
                  <w:rStyle w:val="InternetLink"/>
                  <w:rFonts w:ascii="Times New Roman" w:hAnsi="Times New Roman"/>
                  <w:color w:val="0000CC"/>
                  <w:sz w:val="20"/>
                  <w:u w:val="single"/>
                </w:rPr>
                <w:t>Employment Agreement, dated April 25, 2022, between IMAX Corporation and Natasha Fernandes.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07/29/22</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rPr>
              <w:t>+</w:t>
            </w: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39">
              <w:r>
                <w:rPr>
                  <w:rStyle w:val="InternetLink"/>
                  <w:rFonts w:ascii="Times New Roman" w:hAnsi="Times New Roman"/>
                  <w:color w:val="0000CC"/>
                  <w:sz w:val="20"/>
                  <w:u w:val="single"/>
                </w:rPr>
                <w:t>Letter Agreement by and between Megan Colligan and IMAX Corporation.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04/27/23</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0">
              <w:r>
                <w:rPr>
                  <w:rStyle w:val="InternetLink"/>
                  <w:rFonts w:ascii="Times New Roman" w:hAnsi="Times New Roman"/>
                  <w:color w:val="0000CC"/>
                  <w:sz w:val="20"/>
                  <w:u w:val="single"/>
                </w:rPr>
                <w:t>Statement of Directors’ Compensation as of January 2023.</w:t>
              </w:r>
            </w:hyperlink>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02/22/22</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1">
              <w:r>
                <w:rPr>
                  <w:rStyle w:val="InternetLink"/>
                  <w:rFonts w:ascii="Times New Roman" w:hAnsi="Times New Roman"/>
                  <w:color w:val="0000CC"/>
                  <w:sz w:val="20"/>
                  <w:u w:val="single"/>
                </w:rPr>
                <w:t>Form of Director Indemnification Agreement.</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07/25/18</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2">
              <w:r>
                <w:rPr>
                  <w:rStyle w:val="InternetLink"/>
                  <w:rFonts w:ascii="Times New Roman" w:hAnsi="Times New Roman"/>
                  <w:color w:val="0000CC"/>
                  <w:sz w:val="20"/>
                  <w:u w:val="single"/>
                </w:rPr>
                <w:t>Sixth Amended and Restated Credit Agreement, dated March 25, 2022, by and between IMAX Corporation, the Guarantors referred to therein, the Lenders referred to therein, and Wells Fargo Bank, National Association, as Administrative Agent.</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4/28/22</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3">
              <w:r>
                <w:rPr>
                  <w:rStyle w:val="InternetLink"/>
                  <w:rFonts w:ascii="Times New Roman" w:hAnsi="Times New Roman"/>
                  <w:color w:val="0000CC"/>
                  <w:sz w:val="20"/>
                  <w:u w:val="single"/>
                </w:rPr>
                <w:t>Base Call Option Confirmation, dated as of March 16, 2021 between IMAX Corporation and Wells Fargo Bank,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4">
              <w:r>
                <w:rPr>
                  <w:rStyle w:val="InternetLink"/>
                  <w:rFonts w:ascii="Times New Roman" w:hAnsi="Times New Roman"/>
                  <w:color w:val="0000CC"/>
                  <w:sz w:val="20"/>
                  <w:u w:val="single"/>
                </w:rPr>
                <w:t>Base Call Option Confirmation, dated as of March 16, 2021 between IMAX Corporation and Mizuho Markets Americas LLC.</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5">
              <w:r>
                <w:rPr>
                  <w:rStyle w:val="InternetLink"/>
                  <w:rFonts w:ascii="Times New Roman" w:hAnsi="Times New Roman"/>
                  <w:color w:val="0000CC"/>
                  <w:sz w:val="20"/>
                  <w:u w:val="single"/>
                </w:rPr>
                <w:t>Base Call Option Confirmation, dated as of March 16, 2021 between IMAX Corporation and JPMorgan Chase Bank,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hyperlink r:id="rId46">
              <w:r>
                <w:rPr>
                  <w:rStyle w:val="InternetLink"/>
                  <w:rFonts w:ascii="Times New Roman" w:hAnsi="Times New Roman"/>
                  <w:color w:val="0000CC"/>
                  <w:sz w:val="20"/>
                  <w:u w:val="single"/>
                </w:rPr>
                <w:t>Base Call Option Confirmation, dated as of March 16, 2021 between IMAX Corporation and HSBC Bank USA,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4/29/21</w:t>
            </w:r>
          </w:p>
        </w:tc>
      </w:tr>
      <w:tr>
        <w:trPr/>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6102"/>
        <w:gridCol w:w="146"/>
        <w:gridCol w:w="511"/>
        <w:gridCol w:w="146"/>
        <w:gridCol w:w="785"/>
        <w:gridCol w:w="146"/>
        <w:gridCol w:w="631"/>
        <w:gridCol w:w="146"/>
        <w:gridCol w:w="665"/>
      </w:tblGrid>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r:id="rId47">
              <w:r>
                <w:rPr>
                  <w:rStyle w:val="InternetLink"/>
                  <w:rFonts w:ascii="Times New Roman" w:hAnsi="Times New Roman"/>
                  <w:color w:val="0000CC"/>
                  <w:sz w:val="20"/>
                  <w:u w:val="single"/>
                </w:rPr>
                <w:t>Additional Call Option Confirmation, dated as of March 18, 2021 between IMAX Corporation and Wells Fargo Bank,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10-Q</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10.5</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4/29/21</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r:id="rId48">
              <w:r>
                <w:rPr>
                  <w:rStyle w:val="InternetLink"/>
                  <w:rFonts w:ascii="Times New Roman" w:hAnsi="Times New Roman"/>
                  <w:color w:val="0000CC"/>
                  <w:sz w:val="20"/>
                  <w:u w:val="single"/>
                </w:rPr>
                <w:t>Additional Call Option Confirmation, dated as of March 18, 2021 between IMAX Corporation and Mizuho Markets Americas LLC.</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10-Q</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10.6</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4/29/21</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r:id="rId49">
              <w:r>
                <w:rPr>
                  <w:rStyle w:val="InternetLink"/>
                  <w:rFonts w:ascii="Times New Roman" w:hAnsi="Times New Roman"/>
                  <w:color w:val="0000CC"/>
                  <w:sz w:val="20"/>
                  <w:u w:val="single"/>
                </w:rPr>
                <w:t>Additional Call Option Confirmation, dated as of March 18, 2021 between IMAX Corporation and JPMorgan Chase Bank, National Association.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10-Q</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10.7</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4/29/21</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r:id="rId50">
              <w:r>
                <w:rPr>
                  <w:rStyle w:val="InternetLink"/>
                  <w:rFonts w:ascii="Times New Roman" w:hAnsi="Times New Roman"/>
                  <w:color w:val="0000CC"/>
                  <w:sz w:val="20"/>
                  <w:u w:val="single"/>
                </w:rPr>
                <w:t>Additional Call Option Confirmation, dated as of March 18, 2021 between IMAX Corporation and HSBC Bank USA, National Association.</w:t>
              </w:r>
            </w:hyperlink>
            <w:hyperlink r:id="rId51">
              <w:r>
                <w:rPr>
                  <w:rStyle w:val="InternetLink"/>
                  <w:rFonts w:ascii="Times New Roman" w:hAnsi="Times New Roman"/>
                  <w:color w:val="0000CC"/>
                  <w:sz w:val="20"/>
                </w:rPr>
                <w:t xml:space="preserve"> </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10-Q</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001-35066</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10.8</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 w:hAnsi="Times New Roman"/>
                <w:color w:val="0000CC"/>
                <w:sz w:val="20"/>
              </w:rPr>
            </w:pPr>
            <w:r>
              <w:rPr>
                <w:rFonts w:ascii="Times New Roman" w:hAnsi="Times New Roman"/>
                <w:color w:val="0000CC"/>
                <w:sz w:val="20"/>
              </w:rPr>
              <w:t>4/29/21</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w:anchor="imax-ex21_1.htm">
              <w:r>
                <w:rPr>
                  <w:rStyle w:val="InternetLink"/>
                  <w:rFonts w:ascii="Times New Roman" w:hAnsi="Times New Roman"/>
                  <w:color w:val="0000FF"/>
                  <w:sz w:val="20"/>
                  <w:u w:val="single"/>
                </w:rPr>
                <w:t>Subsidiaries of IMAX Corporation.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w:anchor="imax-ex23_1.htm">
              <w:r>
                <w:rPr>
                  <w:rStyle w:val="InternetLink"/>
                  <w:rFonts w:ascii="Times New Roman" w:hAnsi="Times New Roman"/>
                  <w:color w:val="0000FF"/>
                  <w:sz w:val="20"/>
                  <w:u w:val="single"/>
                </w:rPr>
                <w:t>Consent of PricewaterhouseCoopers LLP.</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hyperlink w:anchor="imax-ex24_1.htm">
              <w:r>
                <w:rPr>
                  <w:rStyle w:val="InternetLink"/>
                  <w:rFonts w:ascii="Times New Roman" w:hAnsi="Times New Roman"/>
                  <w:color w:val="0000FF"/>
                  <w:sz w:val="20"/>
                  <w:u w:val="single"/>
                </w:rPr>
                <w:t>Power of Attorney of certain directors.</w:t>
              </w:r>
            </w:hyperlink>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hyperlink w:anchor="imax-ex31_1.htm">
              <w:r>
                <w:rPr>
                  <w:rStyle w:val="InternetLink"/>
                  <w:rFonts w:ascii="Times New Roman" w:hAnsi="Times New Roman"/>
                  <w:color w:val="0000FF"/>
                  <w:sz w:val="20"/>
                  <w:u w:val="single"/>
                </w:rPr>
                <w:t>Certification Pursuant to Section 302 of the Sarbanes-Oxley Act of 2002, dated February 27, 2024, by Richard L. Gelfond.</w:t>
              </w:r>
            </w:hyperlink>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hyperlink w:anchor="imax-ex31_2.htm">
              <w:r>
                <w:rPr>
                  <w:rStyle w:val="InternetLink"/>
                  <w:rFonts w:ascii="Times New Roman" w:hAnsi="Times New Roman"/>
                  <w:color w:val="0000FF"/>
                  <w:sz w:val="20"/>
                  <w:u w:val="single"/>
                </w:rPr>
                <w:t>Certification Pursuant to Section 302 of the Sarbanes-Oxley Act of 2002, dated February 27, 2024, by Natasha Fernandes.</w:t>
              </w:r>
            </w:hyperlink>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hyperlink w:anchor="imax-ex32_1.htm">
              <w:r>
                <w:rPr>
                  <w:rStyle w:val="InternetLink"/>
                  <w:rFonts w:ascii="Times New Roman" w:hAnsi="Times New Roman"/>
                  <w:color w:val="0000FF"/>
                  <w:sz w:val="20"/>
                  <w:u w:val="single"/>
                </w:rPr>
                <w:t>Certification Pursuant to Section 906 of the Sarbanes-Oxley Act of 2002, dated February 27, 2024, by Richard L. Gelfond.</w:t>
              </w:r>
            </w:hyperlink>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hyperlink w:anchor="imax-ex32_2.htm">
              <w:r>
                <w:rPr>
                  <w:rStyle w:val="InternetLink"/>
                  <w:rFonts w:ascii="Times New Roman" w:hAnsi="Times New Roman"/>
                  <w:color w:val="0000FF"/>
                  <w:sz w:val="20"/>
                  <w:u w:val="single"/>
                </w:rPr>
                <w:t>Certification Pursuant to Section 906 of the Sarbanes-Oxley Act of 2002, dated February 27, 2024, by Natasha Fernandes.</w:t>
              </w:r>
            </w:hyperlink>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hyperlink w:anchor="imax-ex97_1.htm">
              <w:r>
                <w:rPr>
                  <w:rStyle w:val="InternetLink"/>
                  <w:rFonts w:ascii="Times New Roman" w:hAnsi="Times New Roman"/>
                  <w:color w:val="0000FF"/>
                  <w:sz w:val="20"/>
                  <w:u w:val="single"/>
                </w:rPr>
                <w:t>Clawback Policy.</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78" w:type="dxa"/>
            <w:gridSpan w:val="9"/>
            <w:tcBorders/>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spacing w:before="200" w:after="283"/>
        <w:jc w:val="left"/>
        <w:rPr>
          <w:rFonts w:ascii="Times New Roman" w:hAnsi="Times New Roman"/>
          <w:sz w:val="20"/>
        </w:rPr>
      </w:pPr>
      <w:bookmarkStart w:id="38" w:name="item_16_form_10k_summary"/>
      <w:bookmarkEnd w:id="38"/>
      <w:r>
        <w:rPr>
          <w:rFonts w:ascii="Times New Roman" w:hAnsi="Times New Roman"/>
          <w:b/>
          <w:color w:val="000000"/>
          <w:sz w:val="20"/>
        </w:rPr>
        <w:t xml:space="preserve">Item 16. </w:t>
      </w:r>
      <w:r>
        <w:rPr>
          <w:rFonts w:ascii="Times New Roman" w:hAnsi="Times New Roman"/>
          <w:b/>
          <w:i/>
          <w:color w:val="000000"/>
          <w:sz w:val="20"/>
        </w:rPr>
        <w:t>Form 10-K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9" w:name="notes"/>
      <w:bookmarkStart w:id="40" w:name="schedule_ii"/>
      <w:bookmarkEnd w:id="39"/>
      <w:bookmarkEnd w:id="4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bookmarkStart w:id="41" w:name="signatures"/>
      <w:bookmarkEnd w:id="41"/>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260" w:type="dxa"/>
        <w:jc w:val="left"/>
        <w:tblInd w:w="0" w:type="dxa"/>
        <w:tblLayout w:type="fixed"/>
        <w:tblCellMar>
          <w:top w:w="28" w:type="dxa"/>
          <w:left w:w="28" w:type="dxa"/>
          <w:bottom w:w="28" w:type="dxa"/>
          <w:right w:w="28" w:type="dxa"/>
        </w:tblCellMar>
      </w:tblPr>
      <w:tblGrid>
        <w:gridCol w:w="161"/>
        <w:gridCol w:w="346"/>
        <w:gridCol w:w="146"/>
        <w:gridCol w:w="24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099" w:type="dxa"/>
            <w:gridSpan w:val="4"/>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IMAX CORPORATION</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NATASHA FERNANDES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Natasha Fernandes</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p>
      <w:pPr>
        <w:pStyle w:val="TextBody"/>
        <w:bidi w:val="0"/>
        <w:jc w:val="left"/>
        <w:rPr>
          <w:rFonts w:ascii="Times New Roman" w:hAnsi="Times New Roman"/>
          <w:color w:val="000000"/>
          <w:sz w:val="20"/>
        </w:rPr>
      </w:pPr>
      <w:bookmarkStart w:id="42" w:name="pursuant_to_requirements__securities_exc"/>
      <w:bookmarkEnd w:id="42"/>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February 27, 2024.</w:t>
      </w:r>
    </w:p>
    <w:p>
      <w:pPr>
        <w:pStyle w:val="TextBody"/>
        <w:bidi w:val="0"/>
        <w:jc w:val="left"/>
        <w:rPr/>
      </w:pPr>
      <w:r>
        <w:rPr/>
        <w:t> </w:t>
      </w:r>
    </w:p>
    <w:tbl>
      <w:tblPr>
        <w:tblW w:w="9295" w:type="dxa"/>
        <w:jc w:val="left"/>
        <w:tblInd w:w="0" w:type="dxa"/>
        <w:tblLayout w:type="fixed"/>
        <w:tblCellMar>
          <w:top w:w="28" w:type="dxa"/>
          <w:left w:w="28" w:type="dxa"/>
          <w:bottom w:w="28" w:type="dxa"/>
          <w:right w:w="28" w:type="dxa"/>
        </w:tblCellMar>
      </w:tblPr>
      <w:tblGrid>
        <w:gridCol w:w="2866"/>
        <w:gridCol w:w="146"/>
        <w:gridCol w:w="2416"/>
        <w:gridCol w:w="146"/>
        <w:gridCol w:w="372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RICHARD L. GELFOND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NATASHA FERNANDES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GITAJN</w:t>
            </w:r>
          </w:p>
        </w:tc>
      </w:tr>
      <w:tr>
        <w:trPr/>
        <w:tc>
          <w:tcPr>
            <w:tcW w:w="286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Richard L. Gelfond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&amp;</w:t>
            </w:r>
          </w:p>
          <w:p>
            <w:pPr>
              <w:pStyle w:val="TableContents"/>
              <w:bidi w:val="0"/>
              <w:jc w:val="center"/>
              <w:rPr>
                <w:rFonts w:ascii="Times New Roman" w:hAnsi="Times New Roman"/>
                <w:color w:val="000000"/>
                <w:sz w:val="20"/>
              </w:rPr>
            </w:pPr>
            <w:r>
              <w:rPr>
                <w:rFonts w:ascii="Times New Roman" w:hAnsi="Times New Roman"/>
                <w:color w:val="000000"/>
                <w:sz w:val="20"/>
              </w:rPr>
              <w:t>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Natasha Fernandes</w:t>
            </w:r>
          </w:p>
          <w:p>
            <w:pPr>
              <w:pStyle w:val="TableContents"/>
              <w:bidi w:val="0"/>
              <w:jc w:val="center"/>
              <w:rPr>
                <w:rFonts w:ascii="Times New Roman" w:hAnsi="Times New Roman"/>
                <w:color w:val="000000"/>
                <w:sz w:val="20"/>
              </w:rPr>
            </w:pPr>
            <w:r>
              <w:rPr>
                <w:rFonts w:ascii="Times New Roman" w:hAnsi="Times New Roman"/>
                <w:color w:val="000000"/>
                <w:sz w:val="20"/>
              </w:rPr>
              <w:t xml:space="preserve">Chief Financial Officer &amp; </w:t>
            </w:r>
          </w:p>
          <w:p>
            <w:pPr>
              <w:pStyle w:val="TableContents"/>
              <w:bidi w:val="0"/>
              <w:jc w:val="center"/>
              <w:rPr>
                <w:rFonts w:ascii="Times New Roman" w:hAnsi="Times New Roman"/>
                <w:color w:val="000000"/>
                <w:sz w:val="20"/>
              </w:rPr>
            </w:pPr>
            <w:r>
              <w:rPr>
                <w:rFonts w:ascii="Times New Roman" w:hAnsi="Times New Roman"/>
                <w:color w:val="000000"/>
                <w:sz w:val="20"/>
              </w:rPr>
              <w:t>Executive Vice-President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Elizabeth Gitajn</w:t>
            </w:r>
          </w:p>
          <w:p>
            <w:pPr>
              <w:pStyle w:val="TableContents"/>
              <w:bidi w:val="0"/>
              <w:jc w:val="center"/>
              <w:rPr>
                <w:rFonts w:ascii="Times New Roman" w:hAnsi="Times New Roman"/>
                <w:color w:val="000000"/>
                <w:sz w:val="20"/>
              </w:rPr>
            </w:pPr>
            <w:r>
              <w:rPr>
                <w:rFonts w:ascii="Times New Roman" w:hAnsi="Times New Roman"/>
                <w:color w:val="000000"/>
                <w:sz w:val="20"/>
              </w:rPr>
              <w:t>Senior Vice-President, Finance &amp; Controller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r>
      <w:tr>
        <w:trPr/>
        <w:tc>
          <w:tcPr>
            <w:tcW w:w="28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pPr>
            <w:r>
              <w:rPr/>
              <w:t> </w:t>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r>
      <w:tr>
        <w:trPr/>
        <w:tc>
          <w:tcPr>
            <w:tcW w:w="286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Darren D. Throop</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&amp; Director</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Gail Berman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Eric A. Demirian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pPr>
            <w:r>
              <w:rPr/>
              <w:t> </w:t>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r>
      <w:tr>
        <w:trPr/>
        <w:tc>
          <w:tcPr>
            <w:tcW w:w="286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Kevin Douglas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David W. Leebron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Michael MacMillan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pPr>
            <w:r>
              <w:rPr/>
              <w:t> </w:t>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mallCaps/>
                <w:color w:val="000000"/>
                <w:sz w:val="20"/>
              </w:rPr>
            </w:pPr>
            <w:r>
              <w:rPr>
                <w:rFonts w:ascii="Times New Roman" w:hAnsi="Times New Roman"/>
                <w:smallCaps/>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86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 Pamon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241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Dana Settle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Jennifer Wong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left"/>
        <w:rPr/>
      </w:pPr>
      <w:r>
        <w:rPr/>
        <w:t> </w:t>
      </w:r>
    </w:p>
    <w:tbl>
      <w:tblPr>
        <w:tblW w:w="3410" w:type="dxa"/>
        <w:jc w:val="left"/>
        <w:tblInd w:w="0" w:type="dxa"/>
        <w:tblLayout w:type="fixed"/>
        <w:tblCellMar>
          <w:top w:w="28" w:type="dxa"/>
          <w:left w:w="28" w:type="dxa"/>
          <w:bottom w:w="28" w:type="dxa"/>
          <w:right w:w="28" w:type="dxa"/>
        </w:tblCellMar>
      </w:tblPr>
      <w:tblGrid>
        <w:gridCol w:w="161"/>
        <w:gridCol w:w="346"/>
        <w:gridCol w:w="146"/>
        <w:gridCol w:w="25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3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color w:val="000000"/>
                <w:sz w:val="20"/>
              </w:rPr>
              <w:t> /s/ NATASHA FERNANDES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center"/>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Natasha Fernandes</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attorney-in-fact)</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right"/>
        <w:rPr/>
      </w:pPr>
      <w:bookmarkStart w:id="43" w:name="imax-ex10_24.htm"/>
      <w:bookmarkStart w:id="44" w:name="ksimaxex10_24"/>
      <w:bookmarkEnd w:id="43"/>
      <w:bookmarkEnd w:id="44"/>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IMAX CORPORATION</w:t>
      </w:r>
    </w:p>
    <w:p>
      <w:pPr>
        <w:pStyle w:val="TextBody"/>
        <w:bidi w:val="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EXHIBIT 10.24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SECOND AMENDING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Second Amending Agreement, dated as of October 20, 2023 (the “</w:t>
      </w:r>
      <w:r>
        <w:rPr>
          <w:rFonts w:ascii="Times New Roman" w:hAnsi="Times New Roman"/>
          <w:b/>
          <w:i/>
          <w:color w:val="000000"/>
          <w:sz w:val="24"/>
        </w:rPr>
        <w:t>Second Amending Agreement</w:t>
      </w:r>
      <w:r>
        <w:rPr>
          <w:rFonts w:ascii="Times New Roman" w:hAnsi="Times New Roman"/>
          <w:color w:val="000000"/>
          <w:sz w:val="20"/>
        </w:rPr>
        <w:t>”</w:t>
      </w:r>
      <w:r>
        <w:rPr>
          <w:rFonts w:ascii="Times New Roman" w:hAnsi="Times New Roman"/>
          <w:color w:val="000000"/>
          <w:sz w:val="24"/>
        </w:rPr>
        <w:t>), is made between IMAX CORPORATION, a corporation organized under the laws of Canada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ROBERT D. LISTER (the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WHEREAS, the Executive currently serves as the Chief Legal Officer and Senior Executive Vice President of the Company pursuant to an Employment Agreement dated as of December 18, 2017, as previously amended by the First Amending Agreement dated as of March 11, 2020 (collectively,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Company and the Executive wish to amend certain provisions of the Agreement as set forth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is hereby acknowledged, the parties hereto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Capitalized terms used but not defined herein shall have the meanings set forth in the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2 of the Agreement is hereby deleted in its entirety and replaced with the following:</w:t>
      </w:r>
    </w:p>
    <w:p>
      <w:pPr>
        <w:pStyle w:val="TextBody"/>
        <w:bidi w:val="0"/>
        <w:spacing w:before="0" w:after="240"/>
        <w:jc w:val="left"/>
        <w:rPr>
          <w:rFonts w:ascii="Times New Roman" w:hAnsi="Times New Roman"/>
          <w:sz w:val="20"/>
        </w:rPr>
      </w:pPr>
      <w:r>
        <w:rPr>
          <w:rFonts w:ascii="Times New Roman" w:hAnsi="Times New Roman"/>
          <w:color w:val="000000"/>
          <w:sz w:val="24"/>
          <w:u w:val="single"/>
        </w:rPr>
        <w:t>Term</w:t>
      </w:r>
      <w:r>
        <w:rPr>
          <w:rFonts w:ascii="Times New Roman" w:hAnsi="Times New Roman"/>
          <w:color w:val="000000"/>
          <w:sz w:val="24"/>
        </w:rPr>
        <w:t>. The Executive’s employment pursuant to this Agreement shall commence on January 1, 2018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and shall terminate upon the earlier to occur of (i) the Executive’s termination of employment pursuant to Section 4 hereunder and (ii) December 31, 2026. The period commencing as of the Effective Date and ending on December 31, 2026, or such earlier date on which this Agreement is terminated, is hereinafter referred to as the “</w:t>
      </w:r>
      <w:r>
        <w:rPr>
          <w:rFonts w:ascii="Times New Roman" w:hAnsi="Times New Roman"/>
          <w:b/>
          <w:i/>
          <w:color w:val="000000"/>
          <w:sz w:val="24"/>
        </w:rPr>
        <w:t>Term</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3(a) of the Agreement is hereby deleted in its entirety and replaced with the following:</w:t>
      </w:r>
    </w:p>
    <w:p>
      <w:pPr>
        <w:pStyle w:val="TextBody"/>
        <w:bidi w:val="0"/>
        <w:spacing w:before="0" w:after="240"/>
        <w:jc w:val="left"/>
        <w:rPr>
          <w:rFonts w:ascii="Times New Roman" w:hAnsi="Times New Roman"/>
          <w:sz w:val="20"/>
        </w:rPr>
      </w:pPr>
      <w:r>
        <w:rPr>
          <w:rFonts w:ascii="Times New Roman" w:hAnsi="Times New Roman"/>
          <w:color w:val="000000"/>
          <w:sz w:val="24"/>
          <w:u w:val="single"/>
        </w:rPr>
        <w:t>Base Salary</w:t>
      </w:r>
      <w:r>
        <w:rPr>
          <w:rFonts w:ascii="Times New Roman" w:hAnsi="Times New Roman"/>
          <w:color w:val="000000"/>
          <w:sz w:val="24"/>
        </w:rPr>
        <w:t>. The Company shall pay to the Executive an annual salary (the “</w:t>
      </w:r>
      <w:r>
        <w:rPr>
          <w:rFonts w:ascii="Times New Roman" w:hAnsi="Times New Roman"/>
          <w:b/>
          <w:i/>
          <w:color w:val="000000"/>
          <w:sz w:val="24"/>
        </w:rPr>
        <w:t>Base Salary</w:t>
      </w:r>
      <w:r>
        <w:rPr>
          <w:rFonts w:ascii="Times New Roman" w:hAnsi="Times New Roman"/>
          <w:color w:val="000000"/>
          <w:sz w:val="20"/>
        </w:rPr>
        <w:t>”</w:t>
      </w:r>
      <w:r>
        <w:rPr>
          <w:rFonts w:ascii="Times New Roman" w:hAnsi="Times New Roman"/>
          <w:color w:val="000000"/>
          <w:sz w:val="24"/>
        </w:rPr>
        <w:t>) at the rate of $775,816.08, subject to annual review. The Base Salary will be payable in substantially equal installments in accordance with the Company’s ordinary payroll practices as established from time to time.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3(b) of the Agreement is hereby deleted in its entirety and replaced with the following:</w:t>
      </w:r>
    </w:p>
    <w:p>
      <w:pPr>
        <w:pStyle w:val="TextBody"/>
        <w:bidi w:val="0"/>
        <w:spacing w:before="0" w:after="240"/>
        <w:jc w:val="left"/>
        <w:rPr>
          <w:rFonts w:ascii="Times New Roman" w:hAnsi="Times New Roman"/>
          <w:sz w:val="20"/>
        </w:rPr>
      </w:pPr>
      <w:r>
        <w:rPr>
          <w:rFonts w:ascii="Times New Roman" w:hAnsi="Times New Roman"/>
          <w:color w:val="000000"/>
          <w:sz w:val="24"/>
          <w:u w:val="single"/>
        </w:rPr>
        <w:t>Bonus</w:t>
      </w:r>
      <w:r>
        <w:rPr>
          <w:rFonts w:ascii="Times New Roman" w:hAnsi="Times New Roman"/>
          <w:color w:val="000000"/>
          <w:sz w:val="24"/>
        </w:rPr>
        <w:t>. The Executive shall be eligible to receive a discretionary incentive bonus as determined in the sole discretion of the Company (the “</w:t>
      </w:r>
      <w:r>
        <w:rPr>
          <w:rFonts w:ascii="Times New Roman" w:hAnsi="Times New Roman"/>
          <w:b/>
          <w:i/>
          <w:color w:val="000000"/>
          <w:sz w:val="24"/>
        </w:rPr>
        <w:t>Bonus</w:t>
      </w:r>
      <w:r>
        <w:rPr>
          <w:rFonts w:ascii="Times New Roman" w:hAnsi="Times New Roman"/>
          <w:color w:val="000000"/>
          <w:sz w:val="20"/>
        </w:rPr>
        <w:t>”</w:t>
      </w:r>
      <w:r>
        <w:rPr>
          <w:rFonts w:ascii="Times New Roman" w:hAnsi="Times New Roman"/>
          <w:color w:val="000000"/>
          <w:sz w:val="24"/>
        </w:rPr>
        <w:t>). The target amount of the Bonus shall be 60% of Base Salary (the “</w:t>
      </w:r>
      <w:r>
        <w:rPr>
          <w:rFonts w:ascii="Times New Roman" w:hAnsi="Times New Roman"/>
          <w:b/>
          <w:i/>
          <w:color w:val="000000"/>
          <w:sz w:val="24"/>
        </w:rPr>
        <w:t>Target Bonus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of a Change of Control transaction to which the Executive has meaningfully contributed, the Target Bonus for that year will be 100% of Base Salary; and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with the approval of the Compensation Committee of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in its sole discretion, the total Bonus for the year in which a Change of Control transaction occurs may be up to 200% of Base Salary. The actual amount of the Bonus shall be based upon the attainment of individual and Company performance goals and objectives consistent with the Company’s practices with respect to similarly-situated executives and approved by the Compensation Committee of the Board in its sole discretion, and to the extent that the Company maintains incentive compensation plan(s) intended to provide for qualified performance-based compensation under Section 162(m) of the Internal Revenue Code, as amended, and the regulations and guidance promulgated thereunder (the “</w:t>
      </w:r>
      <w:r>
        <w:rPr>
          <w:rFonts w:ascii="Times New Roman" w:hAnsi="Times New Roman"/>
          <w:b/>
          <w:i/>
          <w:color w:val="000000"/>
          <w:sz w:val="24"/>
        </w:rPr>
        <w:t>Code</w:t>
      </w:r>
      <w:r>
        <w:rPr>
          <w:rFonts w:ascii="Times New Roman" w:hAnsi="Times New Roman"/>
          <w:color w:val="000000"/>
          <w:sz w:val="20"/>
        </w:rPr>
        <w:t>”</w:t>
      </w:r>
      <w:r>
        <w:rPr>
          <w:rFonts w:ascii="Times New Roman" w:hAnsi="Times New Roman"/>
          <w:color w:val="000000"/>
          <w:sz w:val="24"/>
        </w:rPr>
        <w:t>), established in conformity with such plan(s). The Bonus (if any) shall be paid on the date on which the Company pays out bonuses to senior executives generally; provided, however, that the Executive remains employed by the Company as of such date (except as otherwise provided herein); and provided, further, that in no event shall the Bonus be paid later than March 15th of the subsequent year.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3(j) of the Agreement is hereby deleted in its entirety and replaced with the following:</w:t>
      </w:r>
    </w:p>
    <w:p>
      <w:pPr>
        <w:pStyle w:val="TextBody"/>
        <w:bidi w:val="0"/>
        <w:spacing w:before="0" w:after="240"/>
        <w:jc w:val="left"/>
        <w:rPr>
          <w:rFonts w:ascii="Times New Roman" w:hAnsi="Times New Roman"/>
          <w:sz w:val="20"/>
        </w:rPr>
      </w:pPr>
      <w:r>
        <w:rPr>
          <w:rFonts w:ascii="Times New Roman" w:hAnsi="Times New Roman"/>
          <w:color w:val="000000"/>
          <w:sz w:val="24"/>
          <w:u w:val="single"/>
        </w:rPr>
        <w:t>Other Benefits</w:t>
      </w:r>
      <w:r>
        <w:rPr>
          <w:rFonts w:ascii="Times New Roman" w:hAnsi="Times New Roman"/>
          <w:color w:val="000000"/>
          <w:sz w:val="24"/>
        </w:rPr>
        <w:t>. The Company shall reimburse the Executive for up to $15,000 per year for financial, estate and tax planning services, life insurance premiums, and charitable contributions, which shall be a taxable benefit to the Executive.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4(e)(ii) of the Agreement is hereby deleted in its entirety and replaced with the following:</w:t>
      </w:r>
    </w:p>
    <w:p>
      <w:pPr>
        <w:pStyle w:val="TextBody"/>
        <w:bidi w:val="0"/>
        <w:spacing w:before="0" w:after="240"/>
        <w:jc w:val="left"/>
        <w:rPr>
          <w:rFonts w:ascii="Times New Roman" w:hAnsi="Times New Roman"/>
          <w:sz w:val="20"/>
        </w:rPr>
      </w:pPr>
      <w:r>
        <w:rPr>
          <w:rFonts w:ascii="Times New Roman" w:hAnsi="Times New Roman"/>
          <w:color w:val="000000"/>
          <w:sz w:val="24"/>
        </w:rPr>
        <w:t>(ii) All equity that remains unvested as of December 31, 2026 will, pursuant to the Service Factor provision in the LTIP and the grant agreements entered into between the Company and the Executive pursuant to the LTIP, continue to vest in accordance with the original vesting schedule (in the case of PSUs, subject to the achievement of the original performance conditions, measured at the conclusion of the relevant performance period).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21 of the Agreement is hereby revised by deleting the notice address for the Company therein and replacing it with the following:</w:t>
      </w:r>
    </w:p>
    <w:p>
      <w:pPr>
        <w:pStyle w:val="TextBody"/>
        <w:bidi w:val="0"/>
        <w:jc w:val="left"/>
        <w:rPr>
          <w:rFonts w:ascii="Times New Roman" w:hAnsi="Times New Roman"/>
          <w:color w:val="000000"/>
          <w:sz w:val="24"/>
        </w:rPr>
      </w:pPr>
      <w:r>
        <w:rPr>
          <w:rFonts w:ascii="Times New Roman" w:hAnsi="Times New Roman"/>
          <w:color w:val="000000"/>
          <w:sz w:val="24"/>
        </w:rPr>
        <w:t>IMAX Corporation</w:t>
      </w:r>
    </w:p>
    <w:p>
      <w:pPr>
        <w:pStyle w:val="TextBody"/>
        <w:bidi w:val="0"/>
        <w:jc w:val="left"/>
        <w:rPr>
          <w:rFonts w:ascii="Times New Roman" w:hAnsi="Times New Roman"/>
          <w:sz w:val="20"/>
        </w:rPr>
      </w:pPr>
      <w:r>
        <w:rPr>
          <w:rFonts w:ascii="Times New Roman" w:hAnsi="Times New Roman"/>
          <w:color w:val="000000"/>
          <w:sz w:val="24"/>
        </w:rPr>
        <w:t>902 Broadway,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New York, NY 10010</w:t>
      </w:r>
    </w:p>
    <w:p>
      <w:pPr>
        <w:pStyle w:val="TextBody"/>
        <w:bidi w:val="0"/>
        <w:jc w:val="left"/>
        <w:rPr>
          <w:rFonts w:ascii="Times New Roman" w:hAnsi="Times New Roman"/>
          <w:color w:val="000000"/>
          <w:sz w:val="24"/>
        </w:rPr>
      </w:pPr>
      <w:r>
        <w:rPr>
          <w:rFonts w:ascii="Times New Roman" w:hAnsi="Times New Roman"/>
          <w:color w:val="000000"/>
          <w:sz w:val="24"/>
        </w:rPr>
        <w:t>Attention: EVP &amp; Chief People Officer</w:t>
      </w:r>
    </w:p>
    <w:p>
      <w:pPr>
        <w:pStyle w:val="TextBody"/>
        <w:bidi w:val="0"/>
        <w:jc w:val="left"/>
        <w:rPr>
          <w:rFonts w:ascii="Times New Roman" w:hAnsi="Times New Roman"/>
          <w:sz w:val="20"/>
        </w:rPr>
      </w:pPr>
      <w:r>
        <w:rPr>
          <w:rFonts w:ascii="Times New Roman" w:hAnsi="Times New Roman"/>
          <w:color w:val="0563C1"/>
          <w:sz w:val="24"/>
        </w:rPr>
        <w:t>mgolden@imax.com</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Except as amended herein, all other terms of the Agreement shall remain in full force, unamended.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WITNESS WHEREOF, the Company and the Executive have duly executed and delivered this First Amending Agreement as of the date first set forth above.</w:t>
      </w:r>
      <w:r>
        <w:rPr>
          <w:rFonts w:ascii="Times New Roman" w:hAnsi="Times New Roman"/>
          <w:color w:val="000000"/>
          <w:sz w:val="20"/>
        </w:rPr>
        <w:t xml:space="preserve"> </w:t>
      </w:r>
    </w:p>
    <w:p>
      <w:pPr>
        <w:pStyle w:val="TextBody"/>
        <w:bidi w:val="0"/>
        <w:jc w:val="both"/>
        <w:rPr/>
      </w:pPr>
      <w:r>
        <w:rPr/>
        <w:t> </w:t>
      </w:r>
    </w:p>
    <w:tbl>
      <w:tblPr>
        <w:tblW w:w="3729" w:type="dxa"/>
        <w:jc w:val="left"/>
        <w:tblInd w:w="0" w:type="dxa"/>
        <w:tblLayout w:type="fixed"/>
        <w:tblCellMar>
          <w:top w:w="28" w:type="dxa"/>
          <w:left w:w="28" w:type="dxa"/>
          <w:bottom w:w="28" w:type="dxa"/>
          <w:right w:w="28" w:type="dxa"/>
        </w:tblCellMar>
      </w:tblPr>
      <w:tblGrid>
        <w:gridCol w:w="161"/>
        <w:gridCol w:w="451"/>
        <w:gridCol w:w="146"/>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568" w:type="dxa"/>
            <w:gridSpan w:val="3"/>
            <w:tcBorders/>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IMAX CORPORATION</w:t>
            </w:r>
          </w:p>
        </w:tc>
      </w:tr>
      <w:tr>
        <w:trPr/>
        <w:tc>
          <w:tcPr>
            <w:tcW w:w="16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/s/ Richard L. Gelfond </w:t>
            </w:r>
          </w:p>
        </w:tc>
      </w:tr>
      <w:tr>
        <w:trPr/>
        <w:tc>
          <w:tcPr>
            <w:tcW w:w="16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Richard L. Gelfond</w:t>
            </w:r>
          </w:p>
        </w:tc>
      </w:tr>
      <w:tr>
        <w:trPr/>
        <w:tc>
          <w:tcPr>
            <w:tcW w:w="161"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both"/>
        <w:rPr/>
      </w:pPr>
      <w:r>
        <w:rPr/>
        <w:t> </w:t>
      </w:r>
    </w:p>
    <w:p>
      <w:pPr>
        <w:pStyle w:val="TextBody"/>
        <w:bidi w:val="0"/>
        <w:jc w:val="both"/>
        <w:rPr/>
      </w:pPr>
      <w:r>
        <w:rPr/>
        <w:t> </w:t>
      </w:r>
    </w:p>
    <w:tbl>
      <w:tblPr>
        <w:tblW w:w="2419" w:type="dxa"/>
        <w:jc w:val="left"/>
        <w:tblInd w:w="0" w:type="dxa"/>
        <w:tblLayout w:type="fixed"/>
        <w:tblCellMar>
          <w:top w:w="28" w:type="dxa"/>
          <w:left w:w="28" w:type="dxa"/>
          <w:bottom w:w="28" w:type="dxa"/>
          <w:right w:w="28" w:type="dxa"/>
        </w:tblCellMar>
      </w:tblPr>
      <w:tblGrid>
        <w:gridCol w:w="161"/>
        <w:gridCol w:w="146"/>
        <w:gridCol w:w="146"/>
        <w:gridCol w:w="19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258" w:type="dxa"/>
            <w:gridSpan w:val="3"/>
            <w:tcBorders/>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EXECUTIVE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6"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Robert D. Lister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6"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Robert D. Lister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6" w:type="dxa"/>
            <w:tcBorders/>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imax-ex21_1.htm"/>
      <w:bookmarkStart w:id="46" w:name="ksimaxex21_1"/>
      <w:bookmarkEnd w:id="45"/>
      <w:bookmarkEnd w:id="46"/>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IMAX CORPORATION</w:t>
      </w:r>
    </w:p>
    <w:p>
      <w:pPr>
        <w:pStyle w:val="TextBody"/>
        <w:bidi w:val="0"/>
        <w:jc w:val="center"/>
        <w:rPr>
          <w:rFonts w:ascii="Times New Roman" w:hAnsi="Times New Roman"/>
          <w:b/>
          <w:color w:val="000000"/>
          <w:sz w:val="24"/>
        </w:rPr>
      </w:pPr>
      <w:r>
        <w:rPr>
          <w:rFonts w:ascii="Times New Roman" w:hAnsi="Times New Roman"/>
          <w:b/>
          <w:color w:val="000000"/>
          <w:sz w:val="24"/>
        </w:rPr>
        <w:t>Exhibit 21.1</w:t>
      </w:r>
    </w:p>
    <w:p>
      <w:pPr>
        <w:pStyle w:val="TextBody"/>
        <w:bidi w:val="0"/>
        <w:jc w:val="center"/>
        <w:rPr>
          <w:rFonts w:ascii="Times New Roman" w:hAnsi="Times New Roman"/>
          <w:b/>
          <w:color w:val="000000"/>
          <w:sz w:val="22"/>
        </w:rPr>
      </w:pPr>
      <w:r>
        <w:rPr>
          <w:rFonts w:ascii="Times New Roman" w:hAnsi="Times New Roman"/>
          <w:b/>
          <w:color w:val="000000"/>
          <w:sz w:val="22"/>
        </w:rPr>
        <w:t>SUBSIDIARIES OF IMAX CORPORATION</w:t>
      </w:r>
    </w:p>
    <w:tbl>
      <w:tblPr>
        <w:tblW w:w="6317" w:type="dxa"/>
        <w:jc w:val="left"/>
        <w:tblInd w:w="0" w:type="dxa"/>
        <w:tblLayout w:type="fixed"/>
        <w:tblCellMar>
          <w:top w:w="28" w:type="dxa"/>
          <w:left w:w="28" w:type="dxa"/>
          <w:bottom w:w="28" w:type="dxa"/>
          <w:right w:w="28" w:type="dxa"/>
        </w:tblCellMar>
      </w:tblPr>
      <w:tblGrid>
        <w:gridCol w:w="4216"/>
        <w:gridCol w:w="2101"/>
      </w:tblGrid>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2101" w:type="dxa"/>
            <w:tcBorders/>
            <w:shd w:fill="FFFFFF" w:val="clear"/>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Company Name</w:t>
            </w:r>
          </w:p>
        </w:tc>
        <w:tc>
          <w:tcPr>
            <w:tcW w:w="21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Place of</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Incorporation</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3183 Films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12582 Productions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1329507 Ontario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2328764 Ontario Ltd. </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4507592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6822967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7096267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7103077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7109857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7214316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7550391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7550405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7742266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7742274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9733248 Canada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Animal Orphans 3D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Arizona Big Frame Theatres,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Arizona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Baseball Tour,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ILW Productions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II U.S.A.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3D TV Ventures,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AI Limited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Ireland</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(Barbados) Holding,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Barbados</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Chicago Theatre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China Holding,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Cayman Islands</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China (Hong Kong), Limited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Documentary Films Capital,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Film Holding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GWG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(Hong Kong) Holding, Limited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Indianapolis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Indiana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International Sales Corporation</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Investment Management,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Japan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Japan</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Minnesota Holding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Music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Post/DKP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Providence General Partner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Providence Limited Partner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PV Development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Rhode Island Limited Partnership</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Rhode Island</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(Rochester)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Scribe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(Shanghai) Commerce and Trade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(Shanghai) Culture &amp; Technology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(Shanghai) Digital Media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(Shanghai) Multimedia Technology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(Shanghai) Theatre Technology Services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Space Productions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421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Spaceworks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bl>
    <w:p>
      <w:pPr>
        <w:pStyle w:val="HorizontalLine"/>
        <w:pBdr>
          <w:bottom w:val="double" w:sz="2" w:space="0" w:color="808080"/>
        </w:pBdr>
        <w:bidi w:val="0"/>
        <w:spacing w:before="0" w:after="283"/>
        <w:jc w:val="left"/>
        <w:rPr/>
      </w:pPr>
      <w:r>
        <w:rPr/>
      </w:r>
    </w:p>
    <w:tbl>
      <w:tblPr>
        <w:tblW w:w="5972" w:type="dxa"/>
        <w:jc w:val="left"/>
        <w:tblInd w:w="0" w:type="dxa"/>
        <w:tblLayout w:type="fixed"/>
        <w:tblCellMar>
          <w:top w:w="28" w:type="dxa"/>
          <w:left w:w="28" w:type="dxa"/>
          <w:bottom w:w="28" w:type="dxa"/>
          <w:right w:w="28" w:type="dxa"/>
        </w:tblCellMar>
      </w:tblPr>
      <w:tblGrid>
        <w:gridCol w:w="3871"/>
        <w:gridCol w:w="2101"/>
      </w:tblGrid>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2101"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Company Name</w:t>
            </w:r>
          </w:p>
        </w:tc>
        <w:tc>
          <w:tcPr>
            <w:tcW w:w="21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Place of</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Incorporation</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 (California I)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 (California II)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Holdings (OEI),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 (Nyack I)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Holding (Nyack II) Co.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 Services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Theatres International Limited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Ireland</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(Titanic) Inc. (50 % owned by IMAX Corp.)</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U.S.A.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VR,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IMAX Virtual Reality Content Fund,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IMAXSHIFT, LLC </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Line Drive Films Inc. </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Madagascar Doc 3D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Night Fog Productions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Nyack Theatre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York</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Plymouth 135-139,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Raining Arrows Productions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Ridefilm Corporation</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Ruth Quentin Films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Sacramento Theatre LLC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SSIMWAVE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Ontario</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SSIMWAVE USA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Sonics Associates,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Alabama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Starboard Theatres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Sponsorship Corporation</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Taurus-Littrow Productions Inc.</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TCL-IMAX Entertainment Co., Limited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TCL-IMAX (Shanghai) Digital Technology Co.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People’s Republic of China</w:t>
            </w:r>
          </w:p>
        </w:tc>
      </w:tr>
      <w:tr>
        <w:trPr/>
        <w:tc>
          <w:tcPr>
            <w:tcW w:w="38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Walking Bones Pictures Ltd.</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47" w:name="imax-ex23_1.htm"/>
      <w:bookmarkStart w:id="48" w:name="ksimaxex23_1"/>
      <w:bookmarkEnd w:id="47"/>
      <w:bookmarkEnd w:id="48"/>
      <w:r>
        <w:rPr>
          <w:rFonts w:ascii="Times New Roman" w:hAnsi="Times New Roman"/>
          <w:b/>
          <w:color w:val="000000"/>
          <w:sz w:val="24"/>
        </w:rPr>
        <w:t>IMAX CORPORATION</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23.1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 333-189274; No. 333-211888; No. 333-238934; No. 333-274898) of IMAX Corporation of our report dated February 27, 2024 relating to the financial statements and the effectiveness of internal control over financial reporting, which appears in this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/s/PricewaterhouseCoopers 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Chartered Professional</w:t>
      </w:r>
      <w:r>
        <w:rPr>
          <w:rFonts w:ascii="Times New Roman" w:hAnsi="Times New Roman"/>
          <w:color w:val="FF0000"/>
          <w:sz w:val="20"/>
        </w:rPr>
        <w:t xml:space="preserve"> </w:t>
      </w:r>
      <w:r>
        <w:rPr>
          <w:rFonts w:ascii="Times New Roman" w:hAnsi="Times New Roman"/>
          <w:b/>
          <w:color w:val="000000"/>
          <w:sz w:val="20"/>
        </w:rPr>
        <w:t>Accountants, Licensed Public Accountants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Toronto, Canada</w:t>
      </w:r>
      <w:r>
        <w:rPr>
          <w:rFonts w:ascii="Times New Roman" w:hAnsi="Times New Roman"/>
          <w:color w:val="FF0000"/>
          <w:sz w:val="20"/>
        </w:rPr>
        <w:br/>
      </w:r>
      <w:r>
        <w:rPr>
          <w:rFonts w:ascii="Times New Roman" w:hAnsi="Times New Roman"/>
          <w:color w:val="000000"/>
          <w:sz w:val="20"/>
        </w:rPr>
        <w:t>February 27,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b/>
          <w:color w:val="000000"/>
          <w:sz w:val="22"/>
        </w:rPr>
      </w:pPr>
      <w:bookmarkStart w:id="49" w:name="imax-ex24_1.htm"/>
      <w:bookmarkStart w:id="50" w:name="ksimaxex24_1"/>
      <w:bookmarkEnd w:id="49"/>
      <w:bookmarkEnd w:id="50"/>
      <w:r>
        <w:rPr>
          <w:rFonts w:ascii="Times New Roman" w:hAnsi="Times New Roman"/>
          <w:b/>
          <w:color w:val="000000"/>
          <w:sz w:val="22"/>
        </w:rPr>
        <w:t>IMAX CORPORATION</w:t>
      </w:r>
      <w:r>
        <w:br w:type="page"/>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EXHIBIT 24.1</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rFonts w:ascii="Times New Roman" w:hAnsi="Times New Roman"/>
          <w:color w:val="000000"/>
          <w:sz w:val="22"/>
        </w:rPr>
      </w:pPr>
      <w:r>
        <w:rPr>
          <w:rFonts w:ascii="Times New Roman" w:hAnsi="Times New Roman"/>
          <w:color w:val="000000"/>
          <w:sz w:val="22"/>
        </w:rPr>
        <w:t>Each of the persons whose signature appears below hereby constitutes and appoints Natasha Fernandes and Robert D. Lister,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Dated this 27th day of February, 2024.</w:t>
      </w:r>
    </w:p>
    <w:p>
      <w:pPr>
        <w:pStyle w:val="TextBody"/>
        <w:bidi w:val="0"/>
        <w:jc w:val="left"/>
        <w:rPr/>
      </w:pPr>
      <w:r>
        <w:rPr/>
        <w:t> </w:t>
      </w:r>
    </w:p>
    <w:tbl>
      <w:tblPr>
        <w:tblW w:w="8135" w:type="dxa"/>
        <w:jc w:val="left"/>
        <w:tblInd w:w="0" w:type="dxa"/>
        <w:tblLayout w:type="fixed"/>
        <w:tblCellMar>
          <w:top w:w="28" w:type="dxa"/>
          <w:left w:w="28" w:type="dxa"/>
          <w:bottom w:w="28" w:type="dxa"/>
          <w:right w:w="28" w:type="dxa"/>
        </w:tblCellMar>
      </w:tblPr>
      <w:tblGrid>
        <w:gridCol w:w="161"/>
        <w:gridCol w:w="2011"/>
        <w:gridCol w:w="146"/>
        <w:gridCol w:w="490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Title</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Darren D. Throop</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Chairman of the Board &amp; 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Darren D. Throop</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Richard Gelfond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Chief Executive Officer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Richard Gelfond</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(Principal Executive Officer)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Gail Berman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Gail Berman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Eric Demirian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Eric Demirian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Kevin Douglas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Kevin Douglas</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David Leebron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David Leebron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Michael MacMillan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Michael MacMillan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Steve Pamon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Steve Pamon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Dana Settle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Dana Settle</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Jennifer Wong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Director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Jennifer Wong</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Natasha Fernandes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Chief Financial Officer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Natasha Fernandes</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(Principal Financial Officer)</w:t>
            </w:r>
          </w:p>
        </w:tc>
        <w:tc>
          <w:tcPr>
            <w:tcW w:w="91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ind w:left="0" w:right="0" w:firstLine="2160"/>
              <w:jc w:val="left"/>
              <w:rPr/>
            </w:pPr>
            <w:r>
              <w:rPr/>
              <w:t> </w:t>
            </w:r>
          </w:p>
        </w:tc>
        <w:tc>
          <w:tcPr>
            <w:tcW w:w="911" w:type="dxa"/>
            <w:tcBorders/>
            <w:vAlign w:val="center"/>
          </w:tcPr>
          <w:p>
            <w:pPr>
              <w:pStyle w:val="TableContents"/>
              <w:bidi w:val="0"/>
              <w:spacing w:before="0" w:after="283"/>
              <w:ind w:left="2160" w:right="0" w:firstLine="720"/>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/s/ Elizabeth Gitajn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ind w:left="0" w:right="0" w:firstLine="2160"/>
              <w:jc w:val="left"/>
              <w:rPr>
                <w:rFonts w:ascii="Times New Roman" w:hAnsi="Times New Roman"/>
                <w:color w:val="000000"/>
                <w:sz w:val="21"/>
              </w:rPr>
            </w:pPr>
            <w:r>
              <w:rPr>
                <w:rFonts w:ascii="Times New Roman" w:hAnsi="Times New Roman"/>
                <w:color w:val="000000"/>
                <w:sz w:val="21"/>
              </w:rPr>
              <w:t>Senior Vice-President, Finance</w:t>
            </w:r>
          </w:p>
        </w:tc>
        <w:tc>
          <w:tcPr>
            <w:tcW w:w="911" w:type="dxa"/>
            <w:tcBorders/>
            <w:vAlign w:val="center"/>
          </w:tcPr>
          <w:p>
            <w:pPr>
              <w:pStyle w:val="TableContents"/>
              <w:bidi w:val="0"/>
              <w:spacing w:before="0" w:after="283"/>
              <w:ind w:left="2160" w:right="0" w:firstLine="720"/>
              <w:jc w:val="center"/>
              <w:rPr/>
            </w:pPr>
            <w:r>
              <w:rPr/>
              <w:t> </w:t>
            </w:r>
          </w:p>
        </w:tc>
      </w:tr>
      <w:tr>
        <w:trPr/>
        <w:tc>
          <w:tcPr>
            <w:tcW w:w="161" w:type="dxa"/>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Elizabeth Gitajn</w:t>
            </w:r>
          </w:p>
        </w:tc>
        <w:tc>
          <w:tcPr>
            <w:tcW w:w="146" w:type="dxa"/>
            <w:tcBorders/>
            <w:vAlign w:val="center"/>
          </w:tcPr>
          <w:p>
            <w:pPr>
              <w:pStyle w:val="TableContents"/>
              <w:bidi w:val="0"/>
              <w:spacing w:before="0" w:after="283"/>
              <w:jc w:val="center"/>
              <w:rPr/>
            </w:pPr>
            <w:r>
              <w:rPr/>
              <w:t> </w:t>
            </w:r>
          </w:p>
        </w:tc>
        <w:tc>
          <w:tcPr>
            <w:tcW w:w="4906" w:type="dxa"/>
            <w:tcBorders/>
            <w:vAlign w:val="center"/>
          </w:tcPr>
          <w:p>
            <w:pPr>
              <w:pStyle w:val="TableContents"/>
              <w:bidi w:val="0"/>
              <w:spacing w:before="0" w:after="283"/>
              <w:ind w:left="0" w:right="0" w:firstLine="2160"/>
              <w:jc w:val="left"/>
              <w:rPr>
                <w:rFonts w:ascii="Times New Roman" w:hAnsi="Times New Roman"/>
                <w:color w:val="000000"/>
                <w:sz w:val="21"/>
              </w:rPr>
            </w:pPr>
            <w:r>
              <w:rPr>
                <w:rFonts w:ascii="Times New Roman" w:hAnsi="Times New Roman"/>
                <w:color w:val="000000"/>
                <w:sz w:val="21"/>
              </w:rPr>
              <w:t>(Principal Accounting Officer)</w:t>
            </w:r>
          </w:p>
        </w:tc>
        <w:tc>
          <w:tcPr>
            <w:tcW w:w="911" w:type="dxa"/>
            <w:tcBorders/>
            <w:vAlign w:val="center"/>
          </w:tcPr>
          <w:p>
            <w:pPr>
              <w:pStyle w:val="TableContents"/>
              <w:bidi w:val="0"/>
              <w:spacing w:before="0" w:after="283"/>
              <w:ind w:left="2160" w:right="0" w:firstLine="720"/>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51" w:name="imax-ex31_1.htm"/>
      <w:bookmarkStart w:id="52" w:name="ksimaxex31_1"/>
      <w:bookmarkEnd w:id="51"/>
      <w:bookmarkEnd w:id="52"/>
      <w:r>
        <w:rPr>
          <w:rFonts w:ascii="Times New Roman" w:hAnsi="Times New Roman"/>
          <w:b/>
          <w:color w:val="000000"/>
          <w:sz w:val="24"/>
        </w:rPr>
        <w:t>IMAX CORPORATION</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Richard L. Gelfond, certify that: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I have reviewed this Annual Report on Form 10-K for the year ended December 31, 2023 of the registrant, IMAX Corporation;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815" w:type="dxa"/>
        <w:jc w:val="left"/>
        <w:tblInd w:w="0" w:type="dxa"/>
        <w:tblLayout w:type="fixed"/>
        <w:tblCellMar>
          <w:top w:w="28" w:type="dxa"/>
          <w:left w:w="28" w:type="dxa"/>
          <w:bottom w:w="28" w:type="dxa"/>
          <w:right w:w="28" w:type="dxa"/>
        </w:tblCellMar>
      </w:tblPr>
      <w:tblGrid>
        <w:gridCol w:w="601"/>
        <w:gridCol w:w="1591"/>
        <w:gridCol w:w="146"/>
        <w:gridCol w:w="406"/>
        <w:gridCol w:w="2071"/>
      </w:tblGrid>
      <w:tr>
        <w:trPr/>
        <w:tc>
          <w:tcPr>
            <w:tcW w:w="60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L. Gelfond</w:t>
            </w:r>
          </w:p>
        </w:tc>
      </w:tr>
      <w:tr>
        <w:trPr/>
        <w:tc>
          <w:tcPr>
            <w:tcW w:w="60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L. Gelfond</w:t>
            </w:r>
          </w:p>
        </w:tc>
      </w:tr>
      <w:tr>
        <w:trPr/>
        <w:tc>
          <w:tcPr>
            <w:tcW w:w="60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53" w:name="imax-ex31_2.htm"/>
      <w:bookmarkStart w:id="54" w:name="ksimaxex31_2"/>
      <w:bookmarkEnd w:id="53"/>
      <w:bookmarkEnd w:id="54"/>
      <w:r>
        <w:rPr>
          <w:rFonts w:ascii="Times New Roman" w:hAnsi="Times New Roman"/>
          <w:b/>
          <w:color w:val="000000"/>
          <w:sz w:val="24"/>
        </w:rPr>
        <w:t>IMAX CORPORATION</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Natasha Fernandes, certify that: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I have reviewed this Annual Report on Form 10-K for the year ended December 31, 2023 of the registrant, IMAX Corporation;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55" w:type="dxa"/>
        <w:jc w:val="left"/>
        <w:tblInd w:w="0" w:type="dxa"/>
        <w:tblLayout w:type="fixed"/>
        <w:tblCellMar>
          <w:top w:w="28" w:type="dxa"/>
          <w:left w:w="28" w:type="dxa"/>
          <w:bottom w:w="28" w:type="dxa"/>
          <w:right w:w="28" w:type="dxa"/>
        </w:tblCellMar>
      </w:tblPr>
      <w:tblGrid>
        <w:gridCol w:w="601"/>
        <w:gridCol w:w="1591"/>
        <w:gridCol w:w="146"/>
        <w:gridCol w:w="406"/>
        <w:gridCol w:w="2011"/>
      </w:tblGrid>
      <w:tr>
        <w:trPr/>
        <w:tc>
          <w:tcPr>
            <w:tcW w:w="60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Natasha Fernandes</w:t>
            </w:r>
          </w:p>
        </w:tc>
      </w:tr>
      <w:tr>
        <w:trPr/>
        <w:tc>
          <w:tcPr>
            <w:tcW w:w="60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Natasha Fernandes</w:t>
            </w:r>
          </w:p>
        </w:tc>
      </w:tr>
      <w:tr>
        <w:trPr/>
        <w:tc>
          <w:tcPr>
            <w:tcW w:w="60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0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55" w:name="imax-ex32_1.htm"/>
      <w:bookmarkStart w:id="56" w:name="ksimaxex32_1"/>
      <w:bookmarkEnd w:id="55"/>
      <w:bookmarkEnd w:id="56"/>
      <w:r>
        <w:rPr>
          <w:rFonts w:ascii="Times New Roman" w:hAnsi="Times New Roman"/>
          <w:b/>
          <w:color w:val="000000"/>
          <w:sz w:val="24"/>
        </w:rPr>
        <w:t>IMAX CORPORATION</w:t>
      </w:r>
      <w:r>
        <w:br w:type="page"/>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EXHIBIT 32.1</w:t>
      </w:r>
    </w:p>
    <w:p>
      <w:pPr>
        <w:pStyle w:val="TextBody"/>
        <w:bidi w:val="0"/>
        <w:spacing w:before="200" w:after="283"/>
        <w:jc w:val="center"/>
        <w:rPr>
          <w:rFonts w:ascii="Times New Roman" w:hAnsi="Times New Roman"/>
          <w:sz w:val="20"/>
        </w:rPr>
      </w:pPr>
      <w:r>
        <w:rPr>
          <w:rFonts w:ascii="Times New Roman" w:hAnsi="Times New Roman"/>
          <w:b/>
          <w:color w:val="000000"/>
          <w:sz w:val="22"/>
        </w:rPr>
        <w:t>CERTIFICATIONS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906 of the Sarbanes-Oxley Act of 2002</w:t>
      </w:r>
    </w:p>
    <w:p>
      <w:pPr>
        <w:pStyle w:val="TextBody"/>
        <w:bidi w:val="0"/>
        <w:jc w:val="center"/>
        <w:rPr>
          <w:rFonts w:ascii="Times New Roman" w:hAnsi="Times New Roman"/>
          <w:b/>
          <w:color w:val="000000"/>
          <w:sz w:val="22"/>
        </w:rPr>
      </w:pPr>
      <w:r>
        <w:rPr>
          <w:rFonts w:ascii="Times New Roman" w:hAnsi="Times New Roman"/>
          <w:b/>
          <w:color w:val="000000"/>
          <w:sz w:val="22"/>
        </w:rPr>
        <w:t>(Subsections (A) and (B) of Section 1350, Chapter 63 of Title 18, United States Code)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Annual Report on Form 10-K for the year ended December 31, 2023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pStyle w:val="TextBody"/>
        <w:bidi w:val="0"/>
        <w:jc w:val="left"/>
        <w:rPr/>
      </w:pPr>
      <w:r>
        <w:rPr/>
        <w:t> </w:t>
      </w:r>
    </w:p>
    <w:tbl>
      <w:tblPr>
        <w:tblW w:w="4409" w:type="dxa"/>
        <w:jc w:val="left"/>
        <w:tblInd w:w="0" w:type="dxa"/>
        <w:tblLayout w:type="fixed"/>
        <w:tblCellMar>
          <w:top w:w="28" w:type="dxa"/>
          <w:left w:w="28" w:type="dxa"/>
          <w:bottom w:w="28" w:type="dxa"/>
          <w:right w:w="28" w:type="dxa"/>
        </w:tblCellMar>
      </w:tblPr>
      <w:tblGrid>
        <w:gridCol w:w="601"/>
        <w:gridCol w:w="146"/>
        <w:gridCol w:w="1591"/>
        <w:gridCol w:w="207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February 27, 2024</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L. Gelfond</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L. Gelfond</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57" w:name="imax-ex32_2.htm"/>
      <w:bookmarkStart w:id="58" w:name="ksimaxex32_2"/>
      <w:bookmarkEnd w:id="57"/>
      <w:bookmarkEnd w:id="58"/>
      <w:r>
        <w:rPr>
          <w:rFonts w:ascii="Times New Roman" w:hAnsi="Times New Roman"/>
          <w:b/>
          <w:color w:val="000000"/>
          <w:sz w:val="24"/>
        </w:rPr>
        <w:t>IMAX CORPORATION</w:t>
      </w:r>
      <w:r>
        <w:br w:type="page"/>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EXHIBIT 32.2</w:t>
      </w:r>
    </w:p>
    <w:p>
      <w:pPr>
        <w:pStyle w:val="TextBody"/>
        <w:bidi w:val="0"/>
        <w:spacing w:before="200" w:after="283"/>
        <w:jc w:val="center"/>
        <w:rPr>
          <w:rFonts w:ascii="Times New Roman" w:hAnsi="Times New Roman"/>
          <w:sz w:val="20"/>
        </w:rPr>
      </w:pPr>
      <w:r>
        <w:rPr>
          <w:rFonts w:ascii="Times New Roman" w:hAnsi="Times New Roman"/>
          <w:b/>
          <w:color w:val="000000"/>
          <w:sz w:val="22"/>
        </w:rPr>
        <w:t>CERTIFICATIONS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906 of the Sarbanes-Oxley Act of 2002</w:t>
      </w:r>
    </w:p>
    <w:p>
      <w:pPr>
        <w:pStyle w:val="TextBody"/>
        <w:bidi w:val="0"/>
        <w:jc w:val="center"/>
        <w:rPr>
          <w:rFonts w:ascii="Times New Roman" w:hAnsi="Times New Roman"/>
          <w:b/>
          <w:color w:val="000000"/>
          <w:sz w:val="22"/>
        </w:rPr>
      </w:pPr>
      <w:r>
        <w:rPr>
          <w:rFonts w:ascii="Times New Roman" w:hAnsi="Times New Roman"/>
          <w:b/>
          <w:color w:val="000000"/>
          <w:sz w:val="22"/>
        </w:rPr>
        <w:t>(Subsections (A) and (B) of Section 1350, Chapter 63 of Title 18, United States Code)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Annual Report on Form 10-K for the year ended December 31, 2023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601"/>
        <w:gridCol w:w="146"/>
        <w:gridCol w:w="1591"/>
        <w:gridCol w:w="205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February 27, 2024</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Natasha Fernandes</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Natasha Fernandes</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59" w:name="imax-ex97_1.htm"/>
      <w:bookmarkStart w:id="60" w:name="ksimaxex97_1"/>
      <w:bookmarkEnd w:id="59"/>
      <w:bookmarkEnd w:id="60"/>
      <w:r>
        <w:rPr>
          <w:rFonts w:ascii="Times New Roman" w:hAnsi="Times New Roman"/>
          <w:b/>
          <w:color w:val="000000"/>
          <w:sz w:val="24"/>
        </w:rPr>
        <w:t>IMAX CORPORATION</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97.1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IMAX CLAWBACK POLICY</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The Board of Directors (the “</w:t>
      </w:r>
      <w:r>
        <w:rPr>
          <w:rFonts w:ascii="Times New Roman" w:hAnsi="Times New Roman"/>
          <w:i/>
          <w:color w:val="000000"/>
          <w:sz w:val="24"/>
        </w:rPr>
        <w:t>Board</w:t>
      </w:r>
      <w:r>
        <w:rPr>
          <w:rFonts w:ascii="Times New Roman" w:hAnsi="Times New Roman"/>
          <w:color w:val="000000"/>
          <w:sz w:val="20"/>
        </w:rPr>
        <w:t>”</w:t>
      </w:r>
      <w:r>
        <w:rPr>
          <w:rFonts w:ascii="Times New Roman" w:hAnsi="Times New Roman"/>
          <w:color w:val="000000"/>
          <w:sz w:val="24"/>
        </w:rPr>
        <w:t>) of IMAX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has adopted this Clawback Policy (this “</w:t>
      </w:r>
      <w:r>
        <w:rPr>
          <w:rFonts w:ascii="Times New Roman" w:hAnsi="Times New Roman"/>
          <w:i/>
          <w:color w:val="000000"/>
          <w:sz w:val="24"/>
        </w:rPr>
        <w:t>Policy</w:t>
      </w:r>
      <w:r>
        <w:rPr>
          <w:rFonts w:ascii="Times New Roman" w:hAnsi="Times New Roman"/>
          <w:color w:val="000000"/>
          <w:sz w:val="20"/>
        </w:rPr>
        <w:t>”</w:t>
      </w:r>
      <w:r>
        <w:rPr>
          <w:rFonts w:ascii="Times New Roman" w:hAnsi="Times New Roman"/>
          <w:color w:val="000000"/>
          <w:sz w:val="24"/>
        </w:rPr>
        <w:t>) in accordance with the applicable provisions of The New York Stock Exchange Listed Company Manual (the “</w:t>
      </w:r>
      <w:r>
        <w:rPr>
          <w:rFonts w:ascii="Times New Roman" w:hAnsi="Times New Roman"/>
          <w:i/>
          <w:color w:val="000000"/>
          <w:sz w:val="24"/>
        </w:rPr>
        <w:t>Clawback Rules</w:t>
      </w:r>
      <w:r>
        <w:rPr>
          <w:rFonts w:ascii="Times New Roman" w:hAnsi="Times New Roman"/>
          <w:color w:val="000000"/>
          <w:sz w:val="20"/>
        </w:rPr>
        <w:t>”</w:t>
      </w:r>
      <w:r>
        <w:rPr>
          <w:rFonts w:ascii="Times New Roman" w:hAnsi="Times New Roman"/>
          <w:color w:val="000000"/>
          <w:sz w:val="24"/>
        </w:rPr>
        <w:t>), promulgated pursuant to the final rules adopted by the Securities and Exchange Commission enacting the clawback standards under Section 954 of the Dodd-Frank Wall Street Reform and Consumer Protection Act. The Board or a delegated committee thereof is designated to administer this Policy (the “</w:t>
      </w:r>
      <w:r>
        <w:rPr>
          <w:rFonts w:ascii="Times New Roman" w:hAnsi="Times New Roman"/>
          <w:i/>
          <w:color w:val="000000"/>
          <w:sz w:val="24"/>
        </w:rPr>
        <w:t>Administrator</w:t>
      </w:r>
      <w:r>
        <w:rPr>
          <w:rFonts w:ascii="Times New Roman" w:hAnsi="Times New Roman"/>
          <w:color w:val="000000"/>
          <w:sz w:val="20"/>
        </w:rPr>
        <w:t>”</w:t>
      </w:r>
      <w:r>
        <w:rPr>
          <w:rFonts w:ascii="Times New Roman" w:hAnsi="Times New Roman"/>
          <w:color w:val="000000"/>
          <w:sz w:val="24"/>
        </w:rPr>
        <w:t>). Capitalized terms not otherwise defined in this Policy have the meanings given to them under the Clawback Rules, which are attached to this Policy as Appendix A. This Policy repeals and replaces the previous clawback policy adopted by the Board on February 19, 2020.</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Recovery of Erroneously Awarded Incentive Compensation</w:t>
      </w:r>
      <w:r>
        <w:rPr>
          <w:rFonts w:ascii="Times New Roman" w:hAnsi="Times New Roman"/>
          <w:color w:val="000000"/>
          <w:sz w:val="24"/>
        </w:rPr>
        <w:t>. The Company shall comply with the Clawback Rules and reasonably promptly recover Erroneously Awarded Compensation Received by current or former Executive Officers of the Company (“</w:t>
      </w:r>
      <w:r>
        <w:rPr>
          <w:rFonts w:ascii="Times New Roman" w:hAnsi="Times New Roman"/>
          <w:i/>
          <w:color w:val="000000"/>
          <w:sz w:val="24"/>
        </w:rPr>
        <w:t>Covered Individuals</w:t>
      </w:r>
      <w:r>
        <w:rPr>
          <w:rFonts w:ascii="Times New Roman" w:hAnsi="Times New Roman"/>
          <w:color w:val="000000"/>
          <w:sz w:val="24"/>
        </w:rPr>
        <w:t>") in the event the Company is required to prepare an accounting restatement due to the Company’s material noncompliance with any financial reporting requirements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hAnsi="Times New Roman"/>
          <w:i/>
          <w:color w:val="000000"/>
          <w:sz w:val="24"/>
        </w:rPr>
        <w:t>Clawback Trigger</w:t>
      </w:r>
      <w:r>
        <w:rPr>
          <w:rFonts w:ascii="Times New Roman" w:hAnsi="Times New Roman"/>
          <w:color w:val="000000"/>
          <w:sz w:val="20"/>
        </w:rPr>
        <w:t>”</w:t>
      </w:r>
      <w:r>
        <w:rPr>
          <w:rFonts w:ascii="Times New Roman" w:hAnsi="Times New Roman"/>
          <w:color w:val="000000"/>
          <w:sz w:val="24"/>
        </w:rPr>
        <w:t>). Voluntary restatements due solely to a change in applicable accounting rules or interpretations will not be considered a Clawback Trigger. The Administrator may determine not to recover Erroneously Awarded Compensation pursuant to this Policy in circumstances where non-enforcement is expressly permitted by the Clawback Rules.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No-fault Basis</w:t>
      </w:r>
      <w:r>
        <w:rPr>
          <w:rFonts w:ascii="Times New Roman" w:hAnsi="Times New Roman"/>
          <w:color w:val="000000"/>
          <w:sz w:val="24"/>
        </w:rPr>
        <w:t>. This Policy applies on a no-fault basis, and Covered Individuals will be subject to recovery under this Policy without regard to their personal culpability.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Covered Compensation</w:t>
      </w:r>
      <w:r>
        <w:rPr>
          <w:rFonts w:ascii="Times New Roman" w:hAnsi="Times New Roman"/>
          <w:color w:val="000000"/>
          <w:sz w:val="24"/>
        </w:rPr>
        <w:t>: This Policy applies to any Incentive-based Compensation Received by a Covered Individual: (1) after such Covered Individual began service as an Executive Officer; (2) who served as an Executive Officer at any time during the performance period for that Incentive-based Compensation; (3) while the Company has a class of securities listed on a national securities exchange or a national securities association; and (4) during the three completed fiscal years immediately preceding the date that the Company is required to prepare an accounting restatement as described above (or during any transition period that results from a change in the Company’s fiscal year, within or immediately following those three completed fiscal years, as determined in accordance with the Clawback Rules). Such Incentive-based Compensation includes, but may not be limited to, the following:</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Any portion of a cash bonus that is earned based wholly or in part upon the attainment of a financial reporting measure.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Any portion of equity awards received under the Company’s Second Amended and Restated Long Term Incentive Plan, or any successor plans thereto, that is granted or vested based wholly or in part upon the attainment of a financial reporting measure.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Amount of Erroneously Award Compensation</w:t>
      </w:r>
      <w:r>
        <w:rPr>
          <w:rFonts w:ascii="Times New Roman" w:hAnsi="Times New Roman"/>
          <w:color w:val="000000"/>
          <w:sz w:val="24"/>
        </w:rPr>
        <w:t xml:space="preserve">: The amount of Incentive-based Compensation subject to recovery by the Company under this Policy is the </w:t>
      </w:r>
      <w:r>
        <w:rPr>
          <w:rFonts w:ascii="Times New Roman" w:hAnsi="Times New Roman"/>
          <w:i/>
          <w:color w:val="000000"/>
          <w:sz w:val="24"/>
        </w:rPr>
        <w:t>Erroneously Awarded Compensation</w:t>
      </w:r>
      <w:r>
        <w:rPr>
          <w:rFonts w:ascii="Times New Roman" w:hAnsi="Times New Roman"/>
          <w:color w:val="000000"/>
          <w:sz w:val="24"/>
        </w:rPr>
        <w:t>, which is the amount of Incentive-based Compensation Received by a Covered Individual that exceeds the amount of Incentive-based Compensation that otherwise would have been Received by the Covered Individual had it been determined based on the restated amount (or otherwise determined in accordance with the Clawback Rules) and will be computed without regard to any taxes paid by the Covered Individual (or withheld from the Incentive-based Compensation). The Administrator shall determine the amount of Erroneously Awarded Compensation.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Method of Recovery</w:t>
      </w:r>
      <w:r>
        <w:rPr>
          <w:rFonts w:ascii="Times New Roman" w:hAnsi="Times New Roman"/>
          <w:color w:val="000000"/>
          <w:sz w:val="24"/>
        </w:rPr>
        <w:t>: The Administrator shall determine, in its sole discretion, the manner in which any Erroneously Awarded Compensation will be recovered. Methods of Clawback may include, but are not limited to: (i) seeking repayment from the Covered Individual, (ii) reducing (subject to applicable law and the terms and conditions of applicable agreements) the amount that would otherwise be payable to the Covered Individual under any compensation, bonus or equity plan, (iii) canceling any awards (whether cash- or equity-based) or portion thereof previously granted to the Covered Individual, (iv) withholding payment of future increases in compensation (including annual or discretionary bonus payments) or grants of equity awards, (v) if the Covered Individual’s employment has terminated as of the date of the Clawback Trigger, or terminates following the date of the Clawback Trigger, withholding or reducing (subject to applicable law and the terms and conditions of applicable agreements) payment of any amount (including, without limitation, any bonus or equity compensation) that would otherwise be payable to the Covered Individual in connection with his or her termination; or (vi) any combination of the foregoing.</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u w:val="single"/>
        </w:rPr>
        <w:t>Administration</w:t>
      </w:r>
      <w:r>
        <w:rPr>
          <w:rFonts w:ascii="Times New Roman" w:hAnsi="Times New Roman"/>
          <w:color w:val="000000"/>
          <w:sz w:val="24"/>
        </w:rPr>
        <w:t>: The Administrator shall interpret and construe this Policy consistent with the Clawback Rules and applicable laws and regulations and shall make all determinations necessary for the administration of this Policy. Any determinations made by the Administrator shall be final, binding and conclusive on all affected individuals. As required by the Clawback Rules, the Company shall provide public disclosures related to this Policy and any applicable recoveries of Erroneously Awarded Compensation. To the extent this Policy conflicts or is inconsistent with the Clawback Rules, the Clawback Rules shall govern.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Indemnification</w:t>
      </w:r>
      <w:r>
        <w:rPr>
          <w:rFonts w:ascii="Times New Roman" w:hAnsi="Times New Roman"/>
          <w:color w:val="000000"/>
          <w:sz w:val="24"/>
        </w:rPr>
        <w:t>: The Company or any of its affiliates shall not indemnify any Covered Individual against the loss of any portion of the amount that is and may be recovered by the Company pursuant to this Policy or any consequential loss or damage arising therefrom; provided, however, that to the extent expense advancement or reimbursement is available to a Covered Individual, this Policy shall not serve to prohibit such advancement or reimbursement.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Other Clawback Rights</w:t>
      </w:r>
      <w:r>
        <w:rPr>
          <w:rFonts w:ascii="Times New Roman" w:hAnsi="Times New Roman"/>
          <w:color w:val="000000"/>
          <w:sz w:val="24"/>
        </w:rPr>
        <w:t>: This Policy shall be in addition to, and not in lieu of, any other clawback, recovery or recoupment policy maintained by the Company from time to time, as well as any clawback, recovery or recoupment provision in any of the Company’s plans, awards or individual agreements (including the clawback, recovery, and recoupment provisions in the Company’s equity award agreements) (collectively, “</w:t>
      </w:r>
      <w:r>
        <w:rPr>
          <w:rFonts w:ascii="Times New Roman" w:hAnsi="Times New Roman"/>
          <w:i/>
          <w:color w:val="000000"/>
          <w:sz w:val="24"/>
        </w:rPr>
        <w:t>Other Company Arrangement</w:t>
      </w:r>
      <w:r>
        <w:rPr>
          <w:rFonts w:ascii="Times New Roman" w:hAnsi="Times New Roman"/>
          <w:color w:val="000000"/>
          <w:sz w:val="20"/>
        </w:rPr>
        <w:t>”</w:t>
      </w:r>
      <w:r>
        <w:rPr>
          <w:rFonts w:ascii="Times New Roman" w:hAnsi="Times New Roman"/>
          <w:color w:val="000000"/>
          <w:sz w:val="24"/>
        </w:rPr>
        <w:t>) and any other remedies or rights that may be available to the Company, including termination of employment; provided, however, that there is no intention to, nor shall there be, any duplicative recoupment of the same compensation under more than one policy, plan, award, or agreement. In addition, no Other Company Arrangement shall serve to restrict the scope or the recoverability of Erroneously Awarded Compensation under this Policy or in any way limit recovery in compliance with the Clawback Rules.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Amendment; Termination</w:t>
      </w:r>
      <w:r>
        <w:rPr>
          <w:rFonts w:ascii="Times New Roman" w:hAnsi="Times New Roman"/>
          <w:color w:val="000000"/>
          <w:sz w:val="24"/>
        </w:rPr>
        <w:t>: The Board may amend this Policy at any time in its discretion, subject to applicable law and the Clawback Rules. To the extent that the Clawback Rules cease to be in force or cease to apply to the Company, this Policy shall also cease to be in force.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Successors</w:t>
      </w:r>
      <w:r>
        <w:rPr>
          <w:rFonts w:ascii="Times New Roman" w:hAnsi="Times New Roman"/>
          <w:color w:val="000000"/>
          <w:sz w:val="24"/>
        </w:rPr>
        <w:t>: This Policy shall be binding and enforceable against all Covered Individuals and their beneficiaries, heirs, executors, administrators or other legal representatives.</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Approved and Adopted: July 26, 2023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921582/000119312513409894/d613298dex31.htm" TargetMode="External"/><Relationship Id="rId5" Type="http://schemas.openxmlformats.org/officeDocument/2006/relationships/hyperlink" Target="https://www.sec.gov/Archives/edgar/data/921582/000119312523032615/d392349dex31.htm" TargetMode="External"/><Relationship Id="rId6" Type="http://schemas.openxmlformats.org/officeDocument/2006/relationships/hyperlink" Target="https://www.sec.gov/Archives/edgar/data/921582/000119312523032615/d392349dex31.htm" TargetMode="External"/><Relationship Id="rId7" Type="http://schemas.openxmlformats.org/officeDocument/2006/relationships/hyperlink" Target="https://www.sec.gov/Archives/edgar/data/0000921582/000156459020005319/imax-ex44_95.htm" TargetMode="External"/><Relationship Id="rId8" Type="http://schemas.openxmlformats.org/officeDocument/2006/relationships/hyperlink" Target="https://www.sec.gov/Archives/edgar/data/0000921582/000119312521087676/d154856dex41.htm" TargetMode="External"/><Relationship Id="rId9" Type="http://schemas.openxmlformats.org/officeDocument/2006/relationships/hyperlink" Target="https://www.sec.gov/Archives/edgar/data/0000921582/000119312521087676/d154856dex41.htm" TargetMode="External"/><Relationship Id="rId10" Type="http://schemas.openxmlformats.org/officeDocument/2006/relationships/hyperlink" Target="https://www.sec.gov/Archives/edgar/data/921582/000119312516475999/d147602dex101.htm" TargetMode="External"/><Relationship Id="rId11" Type="http://schemas.openxmlformats.org/officeDocument/2006/relationships/hyperlink" Target="https://www.sec.gov/Archives/edgar/data/0000921582/000156459020005319/imax-ex104_93.htm" TargetMode="External"/><Relationship Id="rId12" Type="http://schemas.openxmlformats.org/officeDocument/2006/relationships/hyperlink" Target="https://www.sec.gov/Archives/edgar/data/0000921582/000119312520162205/d938821dex101.htm" TargetMode="External"/><Relationship Id="rId13" Type="http://schemas.openxmlformats.org/officeDocument/2006/relationships/hyperlink" Target="https://www.sec.gov/Archives/edgar/data/921582/000119312523166895/d522271dex101.htm" TargetMode="External"/><Relationship Id="rId14" Type="http://schemas.openxmlformats.org/officeDocument/2006/relationships/hyperlink" Target="https://www.sec.gov/Archives/edgar/data/0000921582/000156459021021848/imax-ex1011_104.htm" TargetMode="External"/><Relationship Id="rId15" Type="http://schemas.openxmlformats.org/officeDocument/2006/relationships/hyperlink" Target="https://www.sec.gov/Archives/edgar/data/0000921582/000156459021021848/imax-ex1012_105.htm" TargetMode="External"/><Relationship Id="rId16" Type="http://schemas.openxmlformats.org/officeDocument/2006/relationships/hyperlink" Target="https://www.sec.gov/Archives/edgar/data/0000921582/000156459021038333/imax-ex102_104.htm" TargetMode="External"/><Relationship Id="rId17" Type="http://schemas.openxmlformats.org/officeDocument/2006/relationships/hyperlink" Target="https://www.sec.gov/Archives/edgar/data/921582/000119312513069594/d489869dex102.htm" TargetMode="External"/><Relationship Id="rId18" Type="http://schemas.openxmlformats.org/officeDocument/2006/relationships/hyperlink" Target="https://www.sec.gov/Archives/edgar/data/921582/000119312513069594/d489869dex1010.htm" TargetMode="External"/><Relationship Id="rId19" Type="http://schemas.openxmlformats.org/officeDocument/2006/relationships/hyperlink" Target="https://www.sec.gov/Archives/edgar/data/921582/000119312513069594/d489869dex1011.htm" TargetMode="External"/><Relationship Id="rId20" Type="http://schemas.openxmlformats.org/officeDocument/2006/relationships/hyperlink" Target="https://www.sec.gov/Archives/edgar/data/921582/000119312512075878/d304280dex1012.htm" TargetMode="External"/><Relationship Id="rId21" Type="http://schemas.openxmlformats.org/officeDocument/2006/relationships/hyperlink" Target="https://www.sec.gov/Archives/edgar/data/921582/000119312512075878/d304280dex1013.htm" TargetMode="External"/><Relationship Id="rId22" Type="http://schemas.openxmlformats.org/officeDocument/2006/relationships/hyperlink" Target="https://www.sec.gov/Archives/edgar/data/921582/000119312514060866/d679676dex1016.htm" TargetMode="External"/><Relationship Id="rId23" Type="http://schemas.openxmlformats.org/officeDocument/2006/relationships/hyperlink" Target="https://www.sec.gov/Archives/edgar/data/921582/000119312515054386/d876809dex1017.htm" TargetMode="External"/><Relationship Id="rId24" Type="http://schemas.openxmlformats.org/officeDocument/2006/relationships/hyperlink" Target="https://www.sec.gov/Archives/edgar/data/921582/000119312516475999/d147602dex1018.htm" TargetMode="External"/><Relationship Id="rId25" Type="http://schemas.openxmlformats.org/officeDocument/2006/relationships/hyperlink" Target="https://www.sec.gov/Archives/edgar/data/921582/000119312512075878/d304280dex1017.htm" TargetMode="External"/><Relationship Id="rId26" Type="http://schemas.openxmlformats.org/officeDocument/2006/relationships/hyperlink" Target="https://www.sec.gov/Archives/edgar/data/921582/000119312514379779/d809168dex1012.htm" TargetMode="External"/><Relationship Id="rId27" Type="http://schemas.openxmlformats.org/officeDocument/2006/relationships/hyperlink" Target="https://www.sec.gov/Archives/edgar/data/921582/000119312516475999/d147602dex1021.htm" TargetMode="External"/><Relationship Id="rId28" Type="http://schemas.openxmlformats.org/officeDocument/2006/relationships/hyperlink" Target="https://www.sec.gov/Archives/edgar/data/921582/000119312517054210/d339843dex1024.htm" TargetMode="External"/><Relationship Id="rId29" Type="http://schemas.openxmlformats.org/officeDocument/2006/relationships/hyperlink" Target="https://www.sec.gov/Archives/edgar/data/0000921582/000156459020005319/imax-ex1026_97.htm" TargetMode="External"/><Relationship Id="rId30" Type="http://schemas.openxmlformats.org/officeDocument/2006/relationships/hyperlink" Target="https://www.sec.gov/Archives/edgar/data/921582/000095017022020630/imax-ex10_1.htm" TargetMode="External"/><Relationship Id="rId31" Type="http://schemas.openxmlformats.org/officeDocument/2006/relationships/hyperlink" Target="https://www.sec.gov/Archives/edgar/data/921582/000119312518061184/d544249dex1030.htm" TargetMode="External"/><Relationship Id="rId32" Type="http://schemas.openxmlformats.org/officeDocument/2006/relationships/hyperlink" Target="https://www.sec.gov/Archives/edgar/data/0000921582/000156459020020056/imax-ex1047_99.htm" TargetMode="External"/><Relationship Id="rId33" Type="http://schemas.openxmlformats.org/officeDocument/2006/relationships/hyperlink" Target="https://www.sec.gov/Archives/edgar/data/0000921582/000156459020033940/imax-ex1048_47.htm" TargetMode="External"/><Relationship Id="rId34" Type="http://schemas.openxmlformats.org/officeDocument/2006/relationships/hyperlink" Target="https://www.sec.gov/Archives/edgar/data/0000921582/000156459020048749/imax-ex1052_48.htm" TargetMode="External"/><Relationship Id="rId35" Type="http://schemas.openxmlformats.org/officeDocument/2006/relationships/hyperlink" Target="https://www.sec.gov/Archives/edgar/data/921582/000156459022006399/imax-ex1038_13.htm" TargetMode="External"/><Relationship Id="rId36" Type="http://schemas.openxmlformats.org/officeDocument/2006/relationships/hyperlink" Target="https://www.sec.gov/Archives/edgar/data/921582/000156459022006399/imax-ex1038_13.htm" TargetMode="External"/><Relationship Id="rId37" Type="http://schemas.openxmlformats.org/officeDocument/2006/relationships/hyperlink" Target="https://www.sec.gov/Archives/edgar/data/0000921582/000156459021038333/imax-ex101_80.htm" TargetMode="External"/><Relationship Id="rId38" Type="http://schemas.openxmlformats.org/officeDocument/2006/relationships/hyperlink" Target="https://www.sec.gov/Archives/edgar/data/921582/000095017022013417/imax-ex10_1.htm" TargetMode="External"/><Relationship Id="rId39" Type="http://schemas.openxmlformats.org/officeDocument/2006/relationships/hyperlink" Target="https://www.sec.gov/Archives/edgar/data/921582/000095017023015371/imax-ex10_2.htm" TargetMode="External"/><Relationship Id="rId40" Type="http://schemas.openxmlformats.org/officeDocument/2006/relationships/hyperlink" Target="https://www.sec.gov/Archives/edgar/data/921582/000095017023003801/imax-ex10_37.htm" TargetMode="External"/><Relationship Id="rId41" Type="http://schemas.openxmlformats.org/officeDocument/2006/relationships/hyperlink" Target="https://www.sec.gov/Archives/edgar/data/921582/000119312518226023/d503863dex1039.htm" TargetMode="External"/><Relationship Id="rId42" Type="http://schemas.openxmlformats.org/officeDocument/2006/relationships/hyperlink" Target="https://www.sec.gov/Archives/edgar/data/921582/000095017022006570/imax-ex10_1.htm" TargetMode="External"/><Relationship Id="rId43" Type="http://schemas.openxmlformats.org/officeDocument/2006/relationships/hyperlink" Target="https://www.sec.gov/Archives/edgar/data/0000921582/000119312521087676/d154856dex101.htm" TargetMode="External"/><Relationship Id="rId44" Type="http://schemas.openxmlformats.org/officeDocument/2006/relationships/hyperlink" Target="https://www.sec.gov/Archives/edgar/data/0000921582/000119312521087676/d154856dex102.htm" TargetMode="External"/><Relationship Id="rId45" Type="http://schemas.openxmlformats.org/officeDocument/2006/relationships/hyperlink" Target="https://www.sec.gov/Archives/edgar/data/0000921582/000119312521087676/d154856dex103.htm" TargetMode="External"/><Relationship Id="rId46" Type="http://schemas.openxmlformats.org/officeDocument/2006/relationships/hyperlink" Target="https://www.sec.gov/Archives/edgar/data/0000921582/000119312521087676/d154856dex104.htm" TargetMode="External"/><Relationship Id="rId47" Type="http://schemas.openxmlformats.org/officeDocument/2006/relationships/hyperlink" Target="https://www.sec.gov/Archives/edgar/data/0000921582/000119312521087676/d154856dex105.htm" TargetMode="External"/><Relationship Id="rId48" Type="http://schemas.openxmlformats.org/officeDocument/2006/relationships/hyperlink" Target="https://www.sec.gov/Archives/edgar/data/0000921582/000119312521087676/d154856dex106.htm" TargetMode="External"/><Relationship Id="rId49" Type="http://schemas.openxmlformats.org/officeDocument/2006/relationships/hyperlink" Target="https://www.sec.gov/Archives/edgar/data/0000921582/000119312521087676/d154856dex107.htm" TargetMode="External"/><Relationship Id="rId50" Type="http://schemas.openxmlformats.org/officeDocument/2006/relationships/hyperlink" Target="https://www.sec.gov/Archives/edgar/data/0000921582/000119312521087676/d154856dex108.htm" TargetMode="External"/><Relationship Id="rId51" Type="http://schemas.openxmlformats.org/officeDocument/2006/relationships/hyperlink" Target="https://www.sec.gov/Archives/edgar/data/0000921582/000119312521087676/d154856dex108.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86686</Words>
  <Characters>484571</Characters>
  <CharactersWithSpaces>576977</CharactersWithSpaces>
  <Paragraphs>21778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