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608330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625475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6" w:lineRule="exact"/>
        <w:rPr>
          <w:sz w:val="24"/>
          <w:szCs w:val="24"/>
          <w:color w:val="auto"/>
        </w:rPr>
      </w:pPr>
    </w:p>
    <w:p>
      <w:pPr>
        <w:jc w:val="center"/>
        <w:ind w:left="3660" w:right="980" w:hanging="2679"/>
        <w:spacing w:after="0" w:line="255" w:lineRule="auto"/>
        <w:tabs>
          <w:tab w:leader="none" w:pos="117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 w:lineRule="exact"/>
        <w:rPr>
          <w:sz w:val="24"/>
          <w:szCs w:val="24"/>
          <w:color w:val="auto"/>
        </w:rPr>
      </w:pPr>
    </w:p>
    <w:p>
      <w:pPr>
        <w:jc w:val="center"/>
        <w:ind w:left="4380" w:right="960" w:hanging="3406"/>
        <w:spacing w:after="0" w:line="251" w:lineRule="auto"/>
        <w:tabs>
          <w:tab w:leader="none" w:pos="118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001-35066</w:t>
      </w:r>
    </w:p>
    <w:p>
      <w:pPr>
        <w:sectPr>
          <w:pgSz w:w="11900" w:h="16838" w:orient="portrait"/>
          <w:cols w:equalWidth="0" w:num="1">
            <w:col w:w="11240"/>
          </w:cols>
          <w:pgMar w:left="320" w:top="1306" w:right="339" w:bottom="78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65" w:lineRule="exact"/>
        <w:rPr>
          <w:sz w:val="24"/>
          <w:szCs w:val="24"/>
          <w:color w:val="auto"/>
        </w:rPr>
      </w:pPr>
    </w:p>
    <w:p>
      <w:pPr>
        <w:ind w:left="20" w:right="860"/>
        <w:spacing w:after="0" w:line="309" w:lineRule="auto"/>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43"/>
          <w:szCs w:val="43"/>
          <w:b w:val="1"/>
          <w:bCs w:val="1"/>
          <w:color w:val="auto"/>
        </w:rPr>
        <w:t>IMAX Corporation</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200" w:lineRule="exact"/>
        <w:rPr>
          <w:sz w:val="24"/>
          <w:szCs w:val="24"/>
          <w:color w:val="auto"/>
        </w:rPr>
      </w:pPr>
    </w:p>
    <w:p>
      <w:pPr>
        <w:spacing w:after="0" w:line="331"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98-0140269</w:t>
      </w:r>
    </w:p>
    <w:p>
      <w:pPr>
        <w:spacing w:after="0" w:line="13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(I.R.S. Employer</w:t>
      </w:r>
    </w:p>
    <w:p>
      <w:pPr>
        <w:spacing w:after="0" w:line="2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Identification Number)</w:t>
      </w:r>
    </w:p>
    <w:p>
      <w:pPr>
        <w:spacing w:after="0" w:line="162" w:lineRule="exact"/>
        <w:rPr>
          <w:sz w:val="24"/>
          <w:szCs w:val="24"/>
          <w:color w:val="auto"/>
        </w:rPr>
      </w:pPr>
    </w:p>
    <w:p>
      <w:pPr>
        <w:sectPr>
          <w:pgSz w:w="11900" w:h="16838" w:orient="portrait"/>
          <w:cols w:equalWidth="0" w:num="2">
            <w:col w:w="3040" w:space="720"/>
            <w:col w:w="7480"/>
          </w:cols>
          <w:pgMar w:left="320" w:top="1306" w:right="339" w:bottom="784" w:gutter="0" w:footer="0" w:header="0"/>
          <w:type w:val="continuous"/>
        </w:sect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2525 Speakman Drive,</w:t>
      </w:r>
      <w:r>
        <w:rPr>
          <w:sz w:val="20"/>
          <w:szCs w:val="20"/>
          <w:color w:val="auto"/>
        </w:rPr>
        <w:tab/>
      </w:r>
      <w:r>
        <w:rPr>
          <w:rFonts w:ascii="Times New Roman" w:cs="Times New Roman" w:eastAsia="Times New Roman" w:hAnsi="Times New Roman"/>
          <w:sz w:val="17"/>
          <w:szCs w:val="17"/>
          <w:b w:val="1"/>
          <w:bCs w:val="1"/>
          <w:color w:val="auto"/>
        </w:rPr>
        <w:t>902 Broadway, Floor 20</w:t>
      </w:r>
    </w:p>
    <w:p>
      <w:pPr>
        <w:spacing w:after="0" w:line="30" w:lineRule="exact"/>
        <w:rPr>
          <w:sz w:val="24"/>
          <w:szCs w:val="24"/>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Mississauga, Ontario, Canada L5K 1B1</w:t>
      </w:r>
      <w:r>
        <w:rPr>
          <w:sz w:val="20"/>
          <w:szCs w:val="20"/>
          <w:color w:val="auto"/>
        </w:rPr>
        <w:tab/>
      </w:r>
      <w:r>
        <w:rPr>
          <w:rFonts w:ascii="Times New Roman" w:cs="Times New Roman" w:eastAsia="Times New Roman" w:hAnsi="Times New Roman"/>
          <w:sz w:val="17"/>
          <w:szCs w:val="17"/>
          <w:b w:val="1"/>
          <w:bCs w:val="1"/>
          <w:color w:val="auto"/>
        </w:rPr>
        <w:t>New York, New York, USA 10010</w:t>
      </w:r>
    </w:p>
    <w:p>
      <w:pPr>
        <w:spacing w:after="0" w:line="7" w:lineRule="exact"/>
        <w:rPr>
          <w:sz w:val="24"/>
          <w:szCs w:val="24"/>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(905) 403-6457</w:t>
      </w:r>
      <w:r>
        <w:rPr>
          <w:sz w:val="20"/>
          <w:szCs w:val="20"/>
          <w:color w:val="auto"/>
        </w:rPr>
        <w:tab/>
      </w:r>
      <w:r>
        <w:rPr>
          <w:rFonts w:ascii="Times New Roman" w:cs="Times New Roman" w:eastAsia="Times New Roman" w:hAnsi="Times New Roman"/>
          <w:sz w:val="17"/>
          <w:szCs w:val="17"/>
          <w:b w:val="1"/>
          <w:bCs w:val="1"/>
          <w:color w:val="auto"/>
        </w:rPr>
        <w:t>(212) 821-0142</w:t>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 telephone numbers)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8"/>
        </w:trPr>
        <w:tc>
          <w:tcPr>
            <w:tcW w:w="3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r>
        <w:trPr>
          <w:trHeight w:val="235"/>
        </w:trPr>
        <w:tc>
          <w:tcPr>
            <w:tcW w:w="4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Common Shares, no par value</w:t>
            </w:r>
          </w:p>
        </w:tc>
        <w:tc>
          <w:tcPr>
            <w:tcW w:w="3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IMAX</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New York Stock Exchange</w:t>
            </w:r>
          </w:p>
        </w:tc>
      </w:tr>
    </w:tbl>
    <w:p>
      <w:pPr>
        <w:spacing w:after="0" w:line="200" w:lineRule="exact"/>
        <w:rPr>
          <w:sz w:val="24"/>
          <w:szCs w:val="24"/>
          <w:color w:val="auto"/>
        </w:rPr>
      </w:pPr>
    </w:p>
    <w:p>
      <w:pPr>
        <w:spacing w:after="0" w:line="385" w:lineRule="exact"/>
        <w:rPr>
          <w:sz w:val="24"/>
          <w:szCs w:val="24"/>
          <w:color w:val="auto"/>
        </w:rPr>
      </w:pPr>
    </w:p>
    <w:p>
      <w:pPr>
        <w:jc w:val="both"/>
        <w:ind w:firstLine="193"/>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firstLine="193"/>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0" w:firstLine="193"/>
        <w:spacing w:after="0" w:line="26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26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2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2" w:lineRule="exact"/>
        <w:rPr>
          <w:sz w:val="24"/>
          <w:szCs w:val="24"/>
          <w:color w:val="auto"/>
        </w:rPr>
      </w:pPr>
    </w:p>
    <w:p>
      <w:pPr>
        <w:ind w:right="20" w:firstLine="193"/>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5" w:lineRule="exact"/>
        <w:rPr>
          <w:sz w:val="24"/>
          <w:szCs w:val="24"/>
          <w:color w:val="auto"/>
        </w:rPr>
      </w:pPr>
    </w:p>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96" w:lineRule="exact"/>
        <w:rPr>
          <w:sz w:val="24"/>
          <w:szCs w:val="24"/>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4"/>
          <w:szCs w:val="14"/>
          <w:b w:val="1"/>
          <w:bCs w:val="1"/>
          <w:color w:val="auto"/>
        </w:rPr>
        <w:t>Class</w:t>
      </w:r>
      <w:r>
        <w:rPr>
          <w:sz w:val="20"/>
          <w:szCs w:val="20"/>
          <w:color w:val="auto"/>
        </w:rPr>
        <w:tab/>
      </w:r>
      <w:r>
        <w:rPr>
          <w:rFonts w:ascii="Times New Roman" w:cs="Times New Roman" w:eastAsia="Times New Roman" w:hAnsi="Times New Roman"/>
          <w:sz w:val="14"/>
          <w:szCs w:val="14"/>
          <w:b w:val="1"/>
          <w:bCs w:val="1"/>
          <w:color w:val="auto"/>
        </w:rPr>
        <w:t>Outstanding as of 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306" w:right="339" w:bottom="784" w:gutter="0" w:footer="0" w:header="0"/>
          <w:type w:val="continuous"/>
        </w:sectPr>
      </w:pPr>
    </w:p>
    <w:p>
      <w:pPr>
        <w:spacing w:after="0" w:line="87" w:lineRule="exact"/>
        <w:rPr>
          <w:sz w:val="24"/>
          <w:szCs w:val="24"/>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8"/>
          <w:szCs w:val="18"/>
          <w:color w:val="auto"/>
        </w:rPr>
        <w:t>Common Shares, no par value</w:t>
      </w:r>
      <w:r>
        <w:rPr>
          <w:sz w:val="20"/>
          <w:szCs w:val="20"/>
          <w:color w:val="auto"/>
        </w:rPr>
        <w:tab/>
      </w:r>
      <w:r>
        <w:rPr>
          <w:rFonts w:ascii="Times New Roman" w:cs="Times New Roman" w:eastAsia="Times New Roman" w:hAnsi="Times New Roman"/>
          <w:sz w:val="17"/>
          <w:szCs w:val="17"/>
          <w:color w:val="auto"/>
        </w:rPr>
        <w:t>52,682,641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306070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306" w:right="339" w:bottom="784"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153035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60" w:type="dxa"/>
            <w:vAlign w:val="bottom"/>
            <w:gridSpan w:val="4"/>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IMAX CORPORATION</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60" w:type="dxa"/>
            <w:vAlign w:val="bottom"/>
            <w:gridSpan w:val="4"/>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6"/>
        </w:trPr>
        <w:tc>
          <w:tcPr>
            <w:tcW w:w="102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0200" w:type="dxa"/>
            <w:vAlign w:val="bottom"/>
            <w:gridSpan w:val="12"/>
            <w:vMerge w:val="continue"/>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6"/>
        </w:trPr>
        <w:tc>
          <w:tcPr>
            <w:tcW w:w="10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160" w:type="dxa"/>
            <w:vAlign w:val="bottom"/>
            <w:gridSpan w:val="4"/>
          </w:tcPr>
          <w:p>
            <w:pPr>
              <w:spacing w:after="0"/>
              <w:rPr>
                <w:sz w:val="24"/>
                <w:szCs w:val="24"/>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2500" w:type="dxa"/>
            <w:vAlign w:val="bottom"/>
            <w:gridSpan w:val="2"/>
          </w:tcPr>
          <w:p>
            <w:pPr>
              <w:spacing w:after="0"/>
              <w:rPr>
                <w:sz w:val="21"/>
                <w:szCs w:val="21"/>
                <w:color w:val="auto"/>
              </w:rPr>
            </w:pPr>
          </w:p>
        </w:tc>
        <w:tc>
          <w:tcPr>
            <w:tcW w:w="4920" w:type="dxa"/>
            <w:vAlign w:val="bottom"/>
            <w:gridSpan w:val="3"/>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2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7"/>
              </w:rPr>
              <w:t>PART II. OTHER INFORMATION</w:t>
            </w:r>
          </w:p>
        </w:tc>
        <w:tc>
          <w:tcPr>
            <w:tcW w:w="742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788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0" w:type="dxa"/>
            <w:vAlign w:val="bottom"/>
            <w:tcBorders>
              <w:left w:val="single" w:sz="8" w:color="0000FF"/>
            </w:tcBorders>
            <w:gridSpan w:val="5"/>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80" w:type="dxa"/>
            <w:vAlign w:val="bottom"/>
            <w:gridSpan w:val="7"/>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0" w:type="dxa"/>
            <w:vAlign w:val="bottom"/>
            <w:tcBorders>
              <w:left w:val="single" w:sz="8" w:color="0000FF"/>
            </w:tcBorders>
            <w:gridSpan w:val="5"/>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3000" w:type="dxa"/>
            <w:vAlign w:val="bottom"/>
            <w:gridSpan w:val="5"/>
          </w:tcPr>
          <w:p>
            <w:pPr>
              <w:spacing w:after="0"/>
              <w:rPr>
                <w:sz w:val="21"/>
                <w:szCs w:val="21"/>
                <w:color w:val="auto"/>
              </w:rPr>
            </w:pPr>
          </w:p>
        </w:tc>
        <w:tc>
          <w:tcPr>
            <w:tcW w:w="488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80" w:type="dxa"/>
            <w:vAlign w:val="bottom"/>
            <w:gridSpan w:val="7"/>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71755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40" w:top="7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9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
        </w:trPr>
        <w:tc>
          <w:tcPr>
            <w:tcW w:w="106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The following unaudited Condensed Consolidated Financial Statements are filed as part of this Report:</w:t>
            </w: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0640" w:type="dxa"/>
            <w:vAlign w:val="bottom"/>
            <w:gridSpan w:val="7"/>
            <w:vMerge w:val="continue"/>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2024 and December 31, 2023</w:t>
            </w:r>
          </w:p>
        </w:tc>
        <w:tc>
          <w:tcPr>
            <w:tcW w:w="4100" w:type="dxa"/>
            <w:vAlign w:val="bottom"/>
            <w:gridSpan w:val="5"/>
          </w:tcPr>
          <w:p>
            <w:pPr>
              <w:spacing w:after="0"/>
              <w:rPr>
                <w:sz w:val="24"/>
                <w:szCs w:val="24"/>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2024 and 2023</w:t>
            </w:r>
          </w:p>
        </w:tc>
        <w:tc>
          <w:tcPr>
            <w:tcW w:w="2200" w:type="dxa"/>
            <w:vAlign w:val="bottom"/>
            <w:gridSpan w:val="3"/>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nine months ended September 30, 2024 and 2023</w:t>
            </w:r>
          </w:p>
        </w:tc>
        <w:tc>
          <w:tcPr>
            <w:tcW w:w="128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128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and nine months ended September 30, 2024 and 2023</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5200" w:type="dxa"/>
            <w:vAlign w:val="bottom"/>
            <w:gridSpan w:val="4"/>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80" w:type="dxa"/>
            <w:vAlign w:val="bottom"/>
            <w:gridSpan w:val="2"/>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104,504</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76,200</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136,259</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 net of allowance for credit losses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123,459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127,154</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consideration receivables, net of allowance for credit losses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64,338</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31,584</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12,345</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assets, net of accumulated amortization</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243,299</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20,879</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34,279</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35,022</w:t>
            </w:r>
          </w:p>
        </w:tc>
      </w:tr>
      <w:tr>
        <w:trPr>
          <w:trHeight w:val="26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847,560</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814,669</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26,386</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111,013</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67,105</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 of unamortized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22,924</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 of unamortized discounts and debt issuance costs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230,038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229,131</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479,775</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469,080</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Commitments, contingencies and guarantees </w:t>
            </w:r>
            <w:r>
              <w:rPr>
                <w:rFonts w:ascii="Times New Roman" w:cs="Times New Roman" w:eastAsia="Times New Roman" w:hAnsi="Times New Roman"/>
                <w:sz w:val="18"/>
                <w:szCs w:val="18"/>
                <w:color w:val="auto"/>
              </w:rPr>
              <w:t>(see Note 7)</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658</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stock common shares — no par value. Authorized — unlimited number.</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52,682,641 issued and outstanding (December 31, 2023 — 53,260,276 issued and outstanding)</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394,603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389,048</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equity</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185,087</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surplus reserve</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(279,993)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(292,845)</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attributable to common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289,438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273,141</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71,790</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367,111</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344,931</w:t>
            </w:r>
          </w:p>
        </w:tc>
      </w:tr>
      <w:tr>
        <w:trPr>
          <w:trHeight w:val="26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847,560</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814,669</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14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r>
      <w:tr>
        <w:trPr>
          <w:trHeight w:val="38"/>
        </w:trPr>
        <w:tc>
          <w:tcPr>
            <w:tcW w:w="6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6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26,305</w:t>
            </w:r>
          </w:p>
        </w:tc>
        <w:tc>
          <w:tcPr>
            <w:tcW w:w="140" w:type="dxa"/>
            <w:vAlign w:val="bottom"/>
          </w:tcPr>
          <w:p>
            <w:pPr>
              <w:spacing w:after="0"/>
              <w:rPr>
                <w:sz w:val="21"/>
                <w:szCs w:val="21"/>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18,273</w:t>
            </w:r>
          </w:p>
        </w:tc>
        <w:tc>
          <w:tcPr>
            <w:tcW w:w="120" w:type="dxa"/>
            <w:vAlign w:val="bottom"/>
          </w:tcPr>
          <w:p>
            <w:pPr>
              <w:spacing w:after="0"/>
              <w:rPr>
                <w:sz w:val="21"/>
                <w:szCs w:val="21"/>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54,629</w:t>
            </w:r>
          </w:p>
        </w:tc>
        <w:tc>
          <w:tcPr>
            <w:tcW w:w="140" w:type="dxa"/>
            <w:vAlign w:val="bottom"/>
          </w:tcPr>
          <w:p>
            <w:pPr>
              <w:spacing w:after="0"/>
              <w:rPr>
                <w:sz w:val="21"/>
                <w:szCs w:val="21"/>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65,455</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154,244</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62,612</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r>
      <w:tr>
        <w:trPr>
          <w:trHeight w:val="235"/>
        </w:trPr>
        <w:tc>
          <w:tcPr>
            <w:tcW w:w="6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91,452</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103,896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259,536</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288,821</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 applicable to revenues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28,951</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69,470</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19,747</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40,433</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41,181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117,701</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118,168</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51,019</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62,715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141,835</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170,653</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109,336</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(reversal) 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executive transition costs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19,411</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22,032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34,350</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47,659</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and unrealized investment gains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 non-service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17,719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29,374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44,656</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25,836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29,755</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13,896</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11,990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20,753</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6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tcPr>
          <w:p>
            <w:pPr>
              <w:spacing w:after="0"/>
              <w:rPr>
                <w:sz w:val="23"/>
                <w:szCs w:val="23"/>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Pr>
          <w:p>
            <w:pPr>
              <w:spacing w:after="0"/>
              <w:rPr>
                <w:sz w:val="23"/>
                <w:szCs w:val="23"/>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8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6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52,682</w:t>
            </w:r>
          </w:p>
        </w:tc>
        <w:tc>
          <w:tcPr>
            <w:tcW w:w="1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54,618</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52,605</w:t>
            </w:r>
          </w:p>
        </w:tc>
        <w:tc>
          <w:tcPr>
            <w:tcW w:w="1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54,424</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8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54,089</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53,628</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86360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14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r>
      <w:tr>
        <w:trPr>
          <w:trHeight w:val="38"/>
        </w:trPr>
        <w:tc>
          <w:tcPr>
            <w:tcW w:w="6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6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4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25,836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29,755</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net gain (loss) from cash flow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net loss from cash flow hedging instruments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benefit and postretirement benefit plans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2"/>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before tax</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4,125</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(6,677)</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 related to other comprehensive income (loss)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19,376</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27,692</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23,108</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r>
      <w:tr>
        <w:trPr>
          <w:trHeight w:val="26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common shareholders</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16,855</w:t>
            </w:r>
          </w:p>
        </w:tc>
        <w:tc>
          <w:tcPr>
            <w:tcW w:w="1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11,975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21,820</w:t>
            </w:r>
          </w:p>
        </w:tc>
        <w:tc>
          <w:tcPr>
            <w:tcW w:w="1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18,004</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r>
      <w:tr>
        <w:trPr>
          <w:trHeight w:val="228"/>
        </w:trPr>
        <w:tc>
          <w:tcPr>
            <w:tcW w:w="7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r>
      <w:tr>
        <w:trPr>
          <w:trHeight w:val="38"/>
        </w:trPr>
        <w:tc>
          <w:tcPr>
            <w:tcW w:w="79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3"/>
        </w:trPr>
        <w:tc>
          <w:tcPr>
            <w:tcW w:w="7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25,836</w:t>
            </w:r>
          </w:p>
        </w:tc>
        <w:tc>
          <w:tcPr>
            <w:tcW w:w="140" w:type="dxa"/>
            <w:vAlign w:val="bottom"/>
          </w:tcPr>
          <w:p>
            <w:pPr>
              <w:spacing w:after="0"/>
              <w:rPr>
                <w:sz w:val="20"/>
                <w:szCs w:val="20"/>
                <w:color w:val="auto"/>
              </w:rPr>
            </w:pPr>
          </w:p>
        </w:tc>
        <w:tc>
          <w:tcPr>
            <w:tcW w:w="5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29,755</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48,902</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46,477</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Credit loss (reversal) expense, net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Write-downs, including asset impairments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(3,724)</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and other non-cash compensation</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17,261</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17,830</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foreign currency exchange (gain) loss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and unrealized investment gain</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23,001</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(13,771)</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Film assets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(17,892)</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(14,575)</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(13,393)</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(4,670)</w:t>
            </w:r>
          </w:p>
        </w:tc>
      </w:tr>
      <w:tr>
        <w:trPr>
          <w:trHeight w:val="244"/>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(13,771)</w:t>
            </w:r>
          </w:p>
        </w:tc>
        <w:tc>
          <w:tcPr>
            <w:tcW w:w="14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w:t>
            </w:r>
          </w:p>
        </w:tc>
      </w:tr>
      <w:tr>
        <w:trPr>
          <w:trHeight w:val="235"/>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59,352</w:t>
            </w:r>
          </w:p>
        </w:tc>
        <w:tc>
          <w:tcPr>
            <w:tcW w:w="1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54,608</w:t>
            </w: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equipment for joint revenue sharing arrangements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(21,728)</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(10,705)</w:t>
            </w:r>
          </w:p>
        </w:tc>
      </w:tr>
      <w:tr>
        <w:trPr>
          <w:trHeight w:val="235"/>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 of other intangible assets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(4,802)</w:t>
            </w:r>
          </w:p>
        </w:tc>
        <w:tc>
          <w:tcPr>
            <w:tcW w:w="1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(5,418)</w:t>
            </w:r>
          </w:p>
        </w:tc>
      </w:tr>
      <w:tr>
        <w:trPr>
          <w:trHeight w:val="24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(30,346)</w:t>
            </w:r>
          </w:p>
        </w:tc>
        <w:tc>
          <w:tcPr>
            <w:tcW w:w="14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(18,664)</w:t>
            </w: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 borrowings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31,032</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borrowings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(32,000)</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(43,057)</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other borrowings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other borrowings</w:t>
            </w:r>
          </w:p>
        </w:tc>
        <w:tc>
          <w:tcPr>
            <w:tcW w:w="9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shares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(18,102)</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withheld and paid on employee stock awards vested</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(6,458)</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issued - stock options exercised</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payment under finance lease obligations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4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to non-controlling interests</w:t>
            </w:r>
          </w:p>
        </w:tc>
        <w:tc>
          <w:tcPr>
            <w:tcW w:w="9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r>
      <w:tr>
        <w:trPr>
          <w:trHeight w:val="235"/>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9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(951)</w:t>
            </w:r>
          </w:p>
        </w:tc>
        <w:tc>
          <w:tcPr>
            <w:tcW w:w="140" w:type="dxa"/>
            <w:vAlign w:val="bottom"/>
            <w:tcBorders>
              <w:bottom w:val="single" w:sz="8" w:color="CCEEFF"/>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(24,349)</w:t>
            </w:r>
          </w:p>
        </w:tc>
      </w:tr>
      <w:tr>
        <w:trPr>
          <w:trHeight w:val="23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4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r>
    </w:tbl>
    <w:p>
      <w:pPr>
        <w:spacing w:after="0" w:line="11" w:lineRule="exact"/>
        <w:rPr>
          <w:sz w:val="20"/>
          <w:szCs w:val="20"/>
          <w:color w:val="auto"/>
        </w:rPr>
      </w:pPr>
    </w:p>
    <w:p>
      <w:pPr>
        <w:sectPr>
          <w:pgSz w:w="11900" w:h="16838" w:orient="portrait"/>
          <w:cols w:equalWidth="0" w:num="1">
            <w:col w:w="11240"/>
          </w:cols>
          <w:pgMar w:left="320" w:top="362"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Increase in cash and cash equivalents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3590" cy="153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28,304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12,202</w:t>
            </w:r>
          </w:p>
        </w:tc>
      </w:tr>
      <w:tr>
        <w:trPr>
          <w:trHeight w:val="254"/>
        </w:trPr>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76,200</w:t>
            </w:r>
          </w:p>
        </w:tc>
        <w:tc>
          <w:tcPr>
            <w:tcW w:w="14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97,401</w:t>
            </w:r>
          </w:p>
        </w:tc>
      </w:tr>
      <w:tr>
        <w:trPr>
          <w:trHeight w:val="235"/>
        </w:trPr>
        <w:tc>
          <w:tcPr>
            <w:tcW w:w="5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104,504</w:t>
            </w:r>
          </w:p>
        </w:tc>
        <w:tc>
          <w:tcPr>
            <w:tcW w:w="140" w:type="dxa"/>
            <w:vAlign w:val="bottom"/>
          </w:tcPr>
          <w:p>
            <w:pPr>
              <w:spacing w:after="0"/>
              <w:rPr>
                <w:sz w:val="20"/>
                <w:szCs w:val="20"/>
                <w:color w:val="auto"/>
              </w:rPr>
            </w:pPr>
          </w:p>
        </w:tc>
        <w:tc>
          <w:tcPr>
            <w:tcW w:w="5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109,603</w:t>
            </w:r>
          </w:p>
        </w:tc>
      </w:tr>
      <w:tr>
        <w:trPr>
          <w:trHeight w:val="27"/>
        </w:trPr>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240" w:space="720"/>
            <w:col w:w="3280"/>
          </w:cols>
          <w:pgMar w:left="320" w:top="362" w:right="3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16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r>
      <w:tr>
        <w:trPr>
          <w:trHeight w:val="38"/>
        </w:trPr>
        <w:tc>
          <w:tcPr>
            <w:tcW w:w="6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6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capital stock:</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394,493</w:t>
            </w:r>
          </w:p>
        </w:tc>
        <w:tc>
          <w:tcPr>
            <w:tcW w:w="140" w:type="dxa"/>
            <w:vAlign w:val="bottom"/>
          </w:tcPr>
          <w:p>
            <w:pPr>
              <w:spacing w:after="0"/>
              <w:rPr>
                <w:sz w:val="21"/>
                <w:szCs w:val="21"/>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390,238</w:t>
            </w:r>
          </w:p>
        </w:tc>
        <w:tc>
          <w:tcPr>
            <w:tcW w:w="12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389,048</w:t>
            </w:r>
          </w:p>
        </w:tc>
        <w:tc>
          <w:tcPr>
            <w:tcW w:w="140" w:type="dxa"/>
            <w:vAlign w:val="bottom"/>
          </w:tcPr>
          <w:p>
            <w:pPr>
              <w:spacing w:after="0"/>
              <w:rPr>
                <w:sz w:val="21"/>
                <w:szCs w:val="21"/>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376,715</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options exercised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carrying value of repurchased and retired common shares</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share units vested, net of shares withheld for employee tax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13,631</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394,603</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390,097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394,603</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390,097</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other equity:</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176,632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185,087</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185,678</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 restricted share units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 performance stock units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(20,877)</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ownership interest related to IMAX China</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181,911</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179,970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181,911</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179,970</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statutory surplus reserve:</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2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accumulated deficit:</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(293,889)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(284,208)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(292,845)</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(293,124)</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22,795</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shares repurchased and retired</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(279,993)</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(272,318)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(279,993)</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(272,318)</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accumulated other comprehensive loss: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(14,637)</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non-controlling interests: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65,691</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attributable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to non-controlling shareholders of IMAX China</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ownership interest related to IMAX China common share repurchases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77,673</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77,673</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69,706</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367,111</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356,750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367,111</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356,750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amounts in thousands of U.S. Dollars, unless otherwise stated)</w:t>
      </w:r>
    </w:p>
    <w:p>
      <w:pPr>
        <w:spacing w:after="0" w:line="226" w:lineRule="exact"/>
        <w:rPr>
          <w:sz w:val="20"/>
          <w:szCs w:val="20"/>
          <w:color w:val="auto"/>
        </w:rPr>
      </w:pPr>
    </w:p>
    <w:p>
      <w:pPr>
        <w:jc w:val="both"/>
        <w:ind w:left="200" w:right="9400" w:hanging="193"/>
        <w:spacing w:after="0" w:line="562" w:lineRule="auto"/>
        <w:tabs>
          <w:tab w:leader="none" w:pos="18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w:t>
      </w:r>
      <w:r>
        <w:rPr>
          <w:rFonts w:ascii="Times New Roman" w:cs="Times New Roman" w:eastAsia="Times New Roman" w:hAnsi="Times New Roman"/>
          <w:sz w:val="17"/>
          <w:szCs w:val="17"/>
          <w:b w:val="1"/>
          <w:bCs w:val="1"/>
          <w:i w:val="1"/>
          <w:iCs w:val="1"/>
          <w:color w:val="auto"/>
        </w:rPr>
        <w:t>Accounting Principles</w:t>
      </w: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IMAX Corporation, together with its consolidated subsidiaries (the “Company” or “IMAX”), prepares its financial statements in accordance with United States Generally Accepted Accounting Principles (“U.S. GAAP”) and pursuant to the rules and regulations of the Securities and Exchange Commission (the “SEC”). Certain information and footnote disclosures normally included in financial statements prepared in accordance with U.S. GAAP have been condensed or omitted from this report, as is permitted by such rules and regulations. In the Company’s opinion, the unaudited Condensed Consolidated Financial Statements reflect all adjustments of a normal recurring nature that are necessary for a fair statement of the results for the interim periods presented. The Condensed Consolidated Balance Sheet at December 31, 2023 was derived from the Company’s audited annual Consolidated Financial Statements, but does not contain all of the footnote disclosures included in the annual financial statements. The interim results presented in the Company’s Condensed Consolidated Statements of Operations are not necessarily indicative of results for a full year.</w:t>
      </w:r>
    </w:p>
    <w:p>
      <w:pPr>
        <w:spacing w:after="0" w:line="212"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included in the Company’s 2023 Annual Report on Form 10-K (the “2023 Form 10-K”), which should be consulted for a summary of the significant accounting policies adopted by the Company. These Condensed Consolidated Financial Statements are prepared following the same accounting policies disclosed in the 2023 Form 10-K.</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IMAX Corporation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20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16.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Condensed Consolidated Financial Statements. A change in the value of an equity method investment that is other than temporary is recognized in the Condensed Consolidated Statements of Operations.</w:t>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September 30, 2024 and December 31, 2023, total assets and liabilities of the Company’s consolidated VIEs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9"/>
                <w:szCs w:val="19"/>
                <w:color w:val="auto"/>
              </w:rPr>
            </w:pPr>
          </w:p>
        </w:tc>
        <w:tc>
          <w:tcPr>
            <w:tcW w:w="134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253" w:lineRule="exact"/>
        <w:rPr>
          <w:sz w:val="20"/>
          <w:szCs w:val="20"/>
          <w:color w:val="auto"/>
        </w:rPr>
      </w:pPr>
    </w:p>
    <w:p>
      <w:pPr>
        <w:jc w:val="both"/>
        <w:ind w:firstLine="193"/>
        <w:spacing w:after="0" w:line="266" w:lineRule="auto"/>
        <w:rPr>
          <w:sz w:val="20"/>
          <w:szCs w:val="20"/>
          <w:color w:val="auto"/>
        </w:rPr>
      </w:pPr>
      <w:r>
        <w:rPr>
          <w:rFonts w:ascii="Times New Roman" w:cs="Times New Roman" w:eastAsia="Times New Roman" w:hAnsi="Times New Roman"/>
          <w:sz w:val="17"/>
          <w:szCs w:val="17"/>
          <w:color w:val="auto"/>
        </w:rPr>
        <w:t>In preparing the Company’s Condensed Consolidated Financial Statements, management makes judgments in applying various accounting policies. The areas of policy judgment are consistent with those reported in Note 2(b) of the Company’s audited Consolidated Financial Statements included in its 2023 Form 10-K. Management also considers that its determination of operating and reporting segments represents an area of judgment, and has made this conclusion on the basis of what comprises the discrete financial information produced, but not provided to or used by its Chief Operating Decision Maker (“CODM”) to carry out this function. In addition, management makes assumptions about the Company’s future operating results and cash flows in deriving critical accounting estimates used in preparing the Condensed Consolidated Financial Statements. The 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projections used in testing the recoverability of long-lived assets such as the system equipment supporting joint revenue sharing arrangements; (vii) the economic lives of the system equipment supporting joint revenue sharing arrangements; (viii) the useful lives of intangible assets; (ix) the ultimate revenue forecasts used to test the recoverability of film assets; (x) the discount rates used to determine the present value of financing receivables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of deferred income tax assets; and (xiv) reserves related to uncertain tax positions.</w:t>
      </w:r>
    </w:p>
    <w:p>
      <w:pPr>
        <w:spacing w:after="0" w:line="205" w:lineRule="exact"/>
        <w:rPr>
          <w:sz w:val="20"/>
          <w:szCs w:val="20"/>
          <w:color w:val="auto"/>
        </w:rPr>
      </w:pPr>
    </w:p>
    <w:p>
      <w:pPr>
        <w:ind w:left="180" w:hanging="173"/>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Standards and Accounting Changes</w:t>
      </w:r>
    </w:p>
    <w:p>
      <w:pPr>
        <w:spacing w:after="0" w:line="248"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Recently Issued FASB Accounting Standard Codification Updates Not Yet Adopted</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No. 2023-07, Segment Reporting (Topic 820): Improvements to Reportable Segment Disclosures (“ASU 2023-07”). The purpose of ASU 2023-07 is to enhance the interim disclosure requirements by more closely aligning them with the annual requirements. ASU 2023-07 requires interim and annual disclosures to include information about the company’s significant segment expenses. ASU 2023-07 will be effective for the Company’s year ended December 31, 2024 and all interim periods thereafter. The Company is in the process of evaluating the impact of this ASU on its Consolidated Financial Statements.</w:t>
      </w:r>
    </w:p>
    <w:p>
      <w:pPr>
        <w:spacing w:after="0" w:line="210"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 Update No. 2023-09, Income Taxes (Topic 740): Improvements to Income Tax Disclosures (“ASU 2023-09”). The amendments in ASU 2023-09 improve the transparency of income tax disclosures by requiring (i) consistent categories and greater disaggregation of information in the rate reconciliation, and (ii) income taxes paid disaggregated by jurisdiction. ASU 2023-09 will be effective for the Company’s year ended December 31, 2025. The Company is in the process of evaluating the impact of this ASU on its Consolidated Financial Statements.</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considers the applicability and impact of all recently issued FASB accounting standard codification updates. Accounting standard updates that are not noted above were assessed and determined to be not applicable or not significant to the Company’s Condensed Consolidated Financial Statements for the period ended September 30,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Receivables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spacing w:after="0" w:line="204"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In order to mitigate the credit risk associated with its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are as follows:</w:t>
      </w:r>
    </w:p>
    <w:p>
      <w:pPr>
        <w:spacing w:after="0" w:line="214" w:lineRule="exact"/>
        <w:rPr>
          <w:sz w:val="20"/>
          <w:szCs w:val="20"/>
          <w:color w:val="auto"/>
        </w:rPr>
      </w:pPr>
    </w:p>
    <w:p>
      <w:pPr>
        <w:ind w:left="780" w:hanging="387"/>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Standing — The theater operator continues to be in good standing as payments and reporting are received on a regular basis.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left="780" w:hanging="387"/>
        <w:spacing w:after="0" w:line="278" w:lineRule="auto"/>
        <w:tabs>
          <w:tab w:leader="none" w:pos="77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193" w:lineRule="exact"/>
        <w:rPr>
          <w:rFonts w:ascii="Times New Roman" w:cs="Times New Roman" w:eastAsia="Times New Roman" w:hAnsi="Times New Roman"/>
          <w:sz w:val="17"/>
          <w:szCs w:val="17"/>
          <w:color w:val="auto"/>
        </w:rPr>
      </w:pPr>
    </w:p>
    <w:p>
      <w:pPr>
        <w:jc w:val="both"/>
        <w:ind w:left="780" w:hanging="387"/>
        <w:spacing w:after="0" w:line="256" w:lineRule="auto"/>
        <w:tabs>
          <w:tab w:leader="none" w:pos="7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a theater operator may be placed on nonaccrual status and all revenue recognition related to the theater may be suspended, including the accretion of Finance Income for Financing Receivables.</w:t>
      </w:r>
    </w:p>
    <w:p>
      <w:pPr>
        <w:spacing w:after="0" w:line="209" w:lineRule="exact"/>
        <w:rPr>
          <w:rFonts w:ascii="Times New Roman" w:cs="Times New Roman" w:eastAsia="Times New Roman" w:hAnsi="Times New Roman"/>
          <w:sz w:val="18"/>
          <w:szCs w:val="18"/>
          <w:color w:val="auto"/>
        </w:rPr>
      </w:pPr>
    </w:p>
    <w:p>
      <w:pPr>
        <w:jc w:val="both"/>
        <w:ind w:left="780" w:hanging="387"/>
        <w:spacing w:after="0" w:line="263" w:lineRule="auto"/>
        <w:tabs>
          <w:tab w:leader="none" w:pos="7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suspended, including the accretion of Finance Income for Financing Receivables.</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and involve estimates about the future. As a result, the Company’s judgments and associated estimates of credit losses may ultimately prove, with the benefit of hindsight, to be incorrect. The impacts of inflation, and rising interest rates may impact future credit losses. The Company will continue to monitor economic trends and conditions and portfolio performance and adjust its allowance for credit loss accordingly.</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Accounts Receivable for the three and nine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8"/>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8"/>
        </w:trPr>
        <w:tc>
          <w:tcPr>
            <w:tcW w:w="28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70"/>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7"/>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18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8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42"/>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w:t>
            </w:r>
          </w:p>
        </w:tc>
      </w:tr>
      <w:tr>
        <w:trPr>
          <w:trHeight w:val="223"/>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(reversal) provision,</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6"/>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8"/>
        </w:trPr>
        <w:tc>
          <w:tcPr>
            <w:tcW w:w="2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2"/>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6"/>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7"/>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8"/>
        </w:trPr>
        <w:tc>
          <w:tcPr>
            <w:tcW w:w="2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8"/>
        </w:trPr>
        <w:tc>
          <w:tcPr>
            <w:tcW w:w="28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70"/>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7"/>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8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4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14,119</w:t>
            </w:r>
          </w:p>
        </w:tc>
      </w:tr>
      <w:tr>
        <w:trPr>
          <w:trHeight w:val="22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(reversal),</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r>
      <w:tr>
        <w:trPr>
          <w:trHeight w:val="26"/>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8"/>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42"/>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6"/>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7"/>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Company’s allowance for current expected credit losses related to Accounts Receivable decreased by $1.4 million and $1.5 million, respectively.</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2023, the Company’s allowance for current expected credit losses related to Accounts Receivable increased by $1.1 million and $1.0 million, respectively.</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Financing Receivables</w:t>
      </w:r>
    </w:p>
    <w:p>
      <w:pPr>
        <w:spacing w:after="0" w:line="251"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Financing receivables are due from theater operators and consist of the Company’s net investment in sales-type leases and receivables associated with financed sales of IMAX Systems. As of September 30, 2024 and December 31, 2023, financing receivables consist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9"/>
                <w:szCs w:val="19"/>
                <w:color w:val="auto"/>
              </w:rPr>
            </w:pPr>
          </w:p>
        </w:tc>
        <w:tc>
          <w:tcPr>
            <w:tcW w:w="13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minimum payments due under sales-type leases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29,612</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30,459</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finance income</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3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minimum payments due under sales-type leases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29,992</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28,062</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29,539</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minimum payments due under financed sales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135,684</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finance income</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(28,452)</w:t>
            </w:r>
          </w:p>
        </w:tc>
      </w:tr>
      <w:tr>
        <w:trPr>
          <w:trHeight w:val="23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minimum payments due under financed sales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104,901</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107,232</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95,397</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97,615</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financing receivables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123,459</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7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within one year</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32,031</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after one year</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65,584</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95,397</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September 30, 2024 and December 31, 2023, the weighted-average remaining lease term and weighted-average interest rate associated with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sales-type lease arrangements and financed sales receivables, as applicable,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8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70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168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72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2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7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42"/>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6"/>
        </w:trPr>
        <w:tc>
          <w:tcPr>
            <w:tcW w:w="7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1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2"/>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7.47 %</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r>
      <w:tr>
        <w:trPr>
          <w:trHeight w:val="26"/>
        </w:trPr>
        <w:tc>
          <w:tcPr>
            <w:tcW w:w="7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2"/>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8.94 %</w:t>
            </w: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8.97 %</w:t>
            </w:r>
          </w:p>
        </w:tc>
      </w:tr>
      <w:tr>
        <w:trPr>
          <w:trHeight w:val="26"/>
        </w:trPr>
        <w:tc>
          <w:tcPr>
            <w:tcW w:w="77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tables below provide information on the Company’s net investment in leases by credit quality indicator as of September 30, 2024 and December 31, 2023. The amounts disclosed for each credit quality classification are determined on a customer-by-customer basis as per the origination year of the relationship, and include both billed and unbilled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6"/>
        </w:trPr>
        <w:tc>
          <w:tcPr>
            <w:tcW w:w="3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leases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16,926</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6"/>
        </w:trPr>
        <w:tc>
          <w:tcPr>
            <w:tcW w:w="3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6"/>
        </w:trPr>
        <w:tc>
          <w:tcPr>
            <w:tcW w:w="39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leases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tables below provide information on the Company’s financed sales receivables by credit quality indicator as of September 30, 2024 and December 31, 2023. The amounts disclosed for each credit quality classification are determined on a customer-by-customer basis as per the origination year of the relationship, and include both billed and unbilled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77,364</w:t>
            </w:r>
          </w:p>
        </w:tc>
        <w:tc>
          <w:tcPr>
            <w:tcW w:w="0" w:type="dxa"/>
            <w:vAlign w:val="bottom"/>
          </w:tcPr>
          <w:p>
            <w:pPr>
              <w:spacing w:after="0"/>
              <w:rPr>
                <w:sz w:val="1"/>
                <w:szCs w:val="1"/>
                <w:color w:val="auto"/>
              </w:rPr>
            </w:pPr>
          </w:p>
        </w:tc>
      </w:tr>
      <w:tr>
        <w:trPr>
          <w:trHeight w:val="242"/>
        </w:trPr>
        <w:tc>
          <w:tcPr>
            <w:tcW w:w="3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0" w:type="dxa"/>
            <w:vAlign w:val="bottom"/>
          </w:tcPr>
          <w:p>
            <w:pPr>
              <w:spacing w:after="0"/>
              <w:rPr>
                <w:sz w:val="1"/>
                <w:szCs w:val="1"/>
                <w:color w:val="auto"/>
              </w:rPr>
            </w:pPr>
          </w:p>
        </w:tc>
      </w:tr>
      <w:tr>
        <w:trPr>
          <w:trHeight w:val="242"/>
        </w:trPr>
        <w:tc>
          <w:tcPr>
            <w:tcW w:w="3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0" w:type="dxa"/>
            <w:vAlign w:val="bottom"/>
          </w:tcPr>
          <w:p>
            <w:pPr>
              <w:spacing w:after="0"/>
              <w:rPr>
                <w:sz w:val="1"/>
                <w:szCs w:val="1"/>
                <w:color w:val="auto"/>
              </w:rPr>
            </w:pPr>
          </w:p>
        </w:tc>
      </w:tr>
      <w:tr>
        <w:trPr>
          <w:trHeight w:val="26"/>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76,885</w:t>
            </w:r>
          </w:p>
        </w:tc>
        <w:tc>
          <w:tcPr>
            <w:tcW w:w="0" w:type="dxa"/>
            <w:vAlign w:val="bottom"/>
          </w:tcPr>
          <w:p>
            <w:pPr>
              <w:spacing w:after="0"/>
              <w:rPr>
                <w:sz w:val="1"/>
                <w:szCs w:val="1"/>
                <w:color w:val="auto"/>
              </w:rPr>
            </w:pPr>
          </w:p>
        </w:tc>
      </w:tr>
      <w:tr>
        <w:trPr>
          <w:trHeight w:val="242"/>
        </w:trPr>
        <w:tc>
          <w:tcPr>
            <w:tcW w:w="3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6"/>
        </w:trPr>
        <w:tc>
          <w:tcPr>
            <w:tcW w:w="3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15,586</w:t>
            </w:r>
          </w:p>
        </w:tc>
        <w:tc>
          <w:tcPr>
            <w:tcW w:w="0" w:type="dxa"/>
            <w:vAlign w:val="bottom"/>
          </w:tcPr>
          <w:p>
            <w:pPr>
              <w:spacing w:after="0"/>
              <w:rPr>
                <w:sz w:val="1"/>
                <w:szCs w:val="1"/>
                <w:color w:val="auto"/>
              </w:rPr>
            </w:pPr>
          </w:p>
        </w:tc>
      </w:tr>
      <w:tr>
        <w:trPr>
          <w:trHeight w:val="242"/>
        </w:trPr>
        <w:tc>
          <w:tcPr>
            <w:tcW w:w="3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13,618</w:t>
            </w:r>
          </w:p>
        </w:tc>
        <w:tc>
          <w:tcPr>
            <w:tcW w:w="0" w:type="dxa"/>
            <w:vAlign w:val="bottom"/>
          </w:tcPr>
          <w:p>
            <w:pPr>
              <w:spacing w:after="0"/>
              <w:rPr>
                <w:sz w:val="1"/>
                <w:szCs w:val="1"/>
                <w:color w:val="auto"/>
              </w:rPr>
            </w:pPr>
          </w:p>
        </w:tc>
      </w:tr>
      <w:tr>
        <w:trPr>
          <w:trHeight w:val="26"/>
        </w:trPr>
        <w:tc>
          <w:tcPr>
            <w:tcW w:w="39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tables provide an aging analysis for the Company’s net investment in leases and financed sales receivables as of September 30, 2024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8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Accrued</w:t>
            </w:r>
          </w:p>
        </w:tc>
        <w:tc>
          <w:tcPr>
            <w:tcW w:w="20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30-89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90+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8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5"/>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28,062</w:t>
            </w:r>
          </w:p>
        </w:tc>
        <w:tc>
          <w:tcPr>
            <w:tcW w:w="0" w:type="dxa"/>
            <w:vAlign w:val="bottom"/>
          </w:tcPr>
          <w:p>
            <w:pPr>
              <w:spacing w:after="0"/>
              <w:rPr>
                <w:sz w:val="1"/>
                <w:szCs w:val="1"/>
                <w:color w:val="auto"/>
              </w:rPr>
            </w:pPr>
          </w:p>
        </w:tc>
      </w:tr>
      <w:tr>
        <w:trPr>
          <w:trHeight w:val="24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95,397</w:t>
            </w:r>
          </w:p>
        </w:tc>
        <w:tc>
          <w:tcPr>
            <w:tcW w:w="0" w:type="dxa"/>
            <w:vAlign w:val="bottom"/>
          </w:tcPr>
          <w:p>
            <w:pPr>
              <w:spacing w:after="0"/>
              <w:rPr>
                <w:sz w:val="1"/>
                <w:szCs w:val="1"/>
                <w:color w:val="auto"/>
              </w:rPr>
            </w:pPr>
          </w:p>
        </w:tc>
      </w:tr>
      <w:tr>
        <w:trPr>
          <w:trHeight w:val="26"/>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114,003</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123,459</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840" w:type="dxa"/>
            <w:vAlign w:val="bottom"/>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106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Accrued and</w:t>
            </w:r>
          </w:p>
        </w:tc>
        <w:tc>
          <w:tcPr>
            <w:tcW w:w="200" w:type="dxa"/>
            <w:vAlign w:val="bottom"/>
          </w:tcPr>
          <w:p>
            <w:pPr>
              <w:spacing w:after="0"/>
              <w:rPr>
                <w:sz w:val="13"/>
                <w:szCs w:val="13"/>
                <w:color w:val="auto"/>
              </w:rPr>
            </w:pPr>
          </w:p>
        </w:tc>
        <w:tc>
          <w:tcPr>
            <w:tcW w:w="740" w:type="dxa"/>
            <w:vAlign w:val="bottom"/>
          </w:tcPr>
          <w:p>
            <w:pPr>
              <w:ind w:left="100"/>
              <w:spacing w:after="0" w:line="157" w:lineRule="exact"/>
              <w:rPr>
                <w:sz w:val="20"/>
                <w:szCs w:val="20"/>
                <w:color w:val="auto"/>
              </w:rPr>
            </w:pPr>
            <w:r>
              <w:rPr>
                <w:rFonts w:ascii="Times New Roman" w:cs="Times New Roman" w:eastAsia="Times New Roman" w:hAnsi="Times New Roman"/>
                <w:sz w:val="14"/>
                <w:szCs w:val="14"/>
                <w:b w:val="1"/>
                <w:bCs w:val="1"/>
                <w:color w:val="auto"/>
              </w:rPr>
              <w:t>30-89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ind w:right="138"/>
              <w:spacing w:after="0" w:line="157" w:lineRule="exact"/>
              <w:rPr>
                <w:sz w:val="20"/>
                <w:szCs w:val="20"/>
                <w:color w:val="auto"/>
              </w:rPr>
            </w:pPr>
            <w:r>
              <w:rPr>
                <w:rFonts w:ascii="Times New Roman" w:cs="Times New Roman" w:eastAsia="Times New Roman" w:hAnsi="Times New Roman"/>
                <w:sz w:val="14"/>
                <w:szCs w:val="14"/>
                <w:b w:val="1"/>
                <w:bCs w:val="1"/>
                <w:color w:val="auto"/>
                <w:w w:val="99"/>
              </w:rPr>
              <w:t>90+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8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8"/>
        </w:trPr>
        <w:tc>
          <w:tcPr>
            <w:tcW w:w="28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29,539</w:t>
            </w:r>
          </w:p>
        </w:tc>
        <w:tc>
          <w:tcPr>
            <w:tcW w:w="0" w:type="dxa"/>
            <w:vAlign w:val="bottom"/>
          </w:tcPr>
          <w:p>
            <w:pPr>
              <w:spacing w:after="0"/>
              <w:rPr>
                <w:sz w:val="1"/>
                <w:szCs w:val="1"/>
                <w:color w:val="auto"/>
              </w:rPr>
            </w:pPr>
          </w:p>
        </w:tc>
      </w:tr>
      <w:tr>
        <w:trPr>
          <w:trHeight w:val="24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97,615</w:t>
            </w:r>
          </w:p>
        </w:tc>
        <w:tc>
          <w:tcPr>
            <w:tcW w:w="0" w:type="dxa"/>
            <w:vAlign w:val="bottom"/>
          </w:tcPr>
          <w:p>
            <w:pPr>
              <w:spacing w:after="0"/>
              <w:rPr>
                <w:sz w:val="1"/>
                <w:szCs w:val="1"/>
                <w:color w:val="auto"/>
              </w:rPr>
            </w:pPr>
          </w:p>
        </w:tc>
      </w:tr>
      <w:tr>
        <w:trPr>
          <w:trHeight w:val="26"/>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118,686</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tables provide information about the Company’s net investment in leases and financed sale receivables with billed amounts past due for which it continues to accrue finance income as of September 30, 2024 and December 31, 2023. The amounts disclosed for each credit quality classification are determined on a customer-by-customer basis and include both billed and unbilled amounts.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8"/>
        </w:trPr>
        <w:tc>
          <w:tcPr>
            <w:tcW w:w="38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70"/>
        </w:trPr>
        <w:tc>
          <w:tcPr>
            <w:tcW w:w="3880" w:type="dxa"/>
            <w:vAlign w:val="bottom"/>
          </w:tcPr>
          <w:p>
            <w:pPr>
              <w:spacing w:after="0"/>
              <w:rPr>
                <w:sz w:val="14"/>
                <w:szCs w:val="14"/>
                <w:color w:val="auto"/>
              </w:rPr>
            </w:pPr>
          </w:p>
        </w:tc>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Accrued and</w:t>
            </w:r>
          </w:p>
        </w:tc>
        <w:tc>
          <w:tcPr>
            <w:tcW w:w="9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30-89</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90+</w:t>
            </w:r>
          </w:p>
        </w:tc>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840" w:type="dxa"/>
            <w:vAlign w:val="bottom"/>
          </w:tcPr>
          <w:p>
            <w:pPr>
              <w:spacing w:after="0"/>
              <w:rPr>
                <w:sz w:val="14"/>
                <w:szCs w:val="14"/>
                <w:color w:val="auto"/>
              </w:rPr>
            </w:pPr>
          </w:p>
        </w:tc>
      </w:tr>
      <w:tr>
        <w:trPr>
          <w:trHeight w:val="187"/>
        </w:trPr>
        <w:tc>
          <w:tcPr>
            <w:tcW w:w="3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Days</w:t>
            </w:r>
          </w:p>
        </w:tc>
        <w:tc>
          <w:tcPr>
            <w:tcW w:w="76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Days</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3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Net</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23,916</w:t>
            </w:r>
          </w:p>
        </w:tc>
      </w:tr>
      <w:tr>
        <w:trPr>
          <w:trHeight w:val="24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41,396</w:t>
            </w:r>
          </w:p>
        </w:tc>
      </w:tr>
      <w:tr>
        <w:trPr>
          <w:trHeight w:val="26"/>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65,312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8"/>
        </w:trPr>
        <w:tc>
          <w:tcPr>
            <w:tcW w:w="3900" w:type="dxa"/>
            <w:vAlign w:val="bottom"/>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70"/>
        </w:trPr>
        <w:tc>
          <w:tcPr>
            <w:tcW w:w="390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Accrued and</w:t>
            </w:r>
          </w:p>
        </w:tc>
        <w:tc>
          <w:tcPr>
            <w:tcW w:w="20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30-89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90+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7"/>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8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4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8"/>
        </w:trPr>
        <w:tc>
          <w:tcPr>
            <w:tcW w:w="39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42"/>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27,711</w:t>
            </w:r>
          </w:p>
        </w:tc>
      </w:tr>
      <w:tr>
        <w:trPr>
          <w:trHeight w:val="24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44,451</w:t>
            </w:r>
          </w:p>
        </w:tc>
      </w:tr>
      <w:tr>
        <w:trPr>
          <w:trHeight w:val="26"/>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17,166</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72,162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net investment in leases and financed sale receivables that are on nonaccrual status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6"/>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6"/>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80" w:type="dxa"/>
            <w:vAlign w:val="bottom"/>
          </w:tcPr>
          <w:p>
            <w:pPr>
              <w:spacing w:after="0"/>
              <w:rPr>
                <w:sz w:val="16"/>
                <w:szCs w:val="16"/>
                <w:color w:val="auto"/>
              </w:rPr>
            </w:pPr>
          </w:p>
        </w:tc>
      </w:tr>
      <w:tr>
        <w:trPr>
          <w:trHeight w:val="38"/>
        </w:trPr>
        <w:tc>
          <w:tcPr>
            <w:tcW w:w="49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1"/>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8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0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0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0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6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8"/>
        </w:trPr>
        <w:tc>
          <w:tcPr>
            <w:tcW w:w="49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42"/>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w:t>
            </w:r>
          </w:p>
        </w:tc>
      </w:tr>
      <w:tr>
        <w:trPr>
          <w:trHeight w:val="26"/>
        </w:trPr>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7"/>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the Company did not recognize Finance Income related to the net investment in leases on non-accrual status.</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recognized $0.4 million and $1.0 million, respectively (2023 — less than $0.1 million and $0.2 million, respectively) in Finance Income related to the financed sales receivables in nonaccrual status.</w:t>
      </w:r>
    </w:p>
    <w:p>
      <w:pPr>
        <w:sectPr>
          <w:pgSz w:w="11900" w:h="16838" w:orient="portrait"/>
          <w:cols w:equalWidth="0" w:num="1">
            <w:col w:w="11240"/>
          </w:cols>
          <w:pgMar w:left="320" w:top="36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the Company’s net investment in leases and financed sale receivables for the three and nine months ended September 30, 2024 and 2023:</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3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6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4580" w:type="dxa"/>
            <w:vAlign w:val="bottom"/>
          </w:tcPr>
          <w:p>
            <w:pPr>
              <w:spacing w:after="0"/>
              <w:rPr>
                <w:sz w:val="19"/>
                <w:szCs w:val="19"/>
                <w:color w:val="auto"/>
              </w:rPr>
            </w:pPr>
          </w:p>
        </w:tc>
        <w:tc>
          <w:tcPr>
            <w:tcW w:w="33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26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38"/>
        </w:trPr>
        <w:tc>
          <w:tcPr>
            <w:tcW w:w="45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170"/>
        </w:trPr>
        <w:tc>
          <w:tcPr>
            <w:tcW w:w="4580" w:type="dxa"/>
            <w:vAlign w:val="bottom"/>
          </w:tcPr>
          <w:p>
            <w:pPr>
              <w:spacing w:after="0"/>
              <w:rPr>
                <w:sz w:val="14"/>
                <w:szCs w:val="14"/>
                <w:color w:val="auto"/>
              </w:rPr>
            </w:pPr>
          </w:p>
        </w:tc>
        <w:tc>
          <w:tcPr>
            <w:tcW w:w="158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Financed</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6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187"/>
        </w:trPr>
        <w:tc>
          <w:tcPr>
            <w:tcW w:w="4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6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(reversal), net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6"/>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w:t>
            </w: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545"/>
        </w:trPr>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4"/>
                <w:szCs w:val="24"/>
                <w:color w:val="auto"/>
              </w:rPr>
            </w:pPr>
          </w:p>
        </w:tc>
        <w:tc>
          <w:tcPr>
            <w:tcW w:w="3060" w:type="dxa"/>
            <w:vAlign w:val="bottom"/>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4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Pr>
          <w:p>
            <w:pPr>
              <w:spacing w:after="0"/>
              <w:rPr>
                <w:sz w:val="19"/>
                <w:szCs w:val="19"/>
                <w:color w:val="auto"/>
              </w:rPr>
            </w:pPr>
          </w:p>
        </w:tc>
        <w:tc>
          <w:tcPr>
            <w:tcW w:w="3060" w:type="dxa"/>
            <w:vAlign w:val="bottom"/>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38"/>
        </w:trPr>
        <w:tc>
          <w:tcPr>
            <w:tcW w:w="4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56"/>
        </w:trPr>
        <w:tc>
          <w:tcPr>
            <w:tcW w:w="4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80"/>
              <w:spacing w:after="0" w:line="157" w:lineRule="exact"/>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3"/>
                <w:szCs w:val="13"/>
                <w:color w:val="auto"/>
              </w:rPr>
            </w:pPr>
          </w:p>
        </w:tc>
        <w:tc>
          <w:tcPr>
            <w:tcW w:w="1520" w:type="dxa"/>
            <w:vAlign w:val="bottom"/>
            <w:gridSpan w:val="4"/>
          </w:tcPr>
          <w:p>
            <w:pPr>
              <w:jc w:val="center"/>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Net Financed</w:t>
            </w:r>
          </w:p>
        </w:tc>
        <w:tc>
          <w:tcPr>
            <w:tcW w:w="200" w:type="dxa"/>
            <w:vAlign w:val="bottom"/>
          </w:tcPr>
          <w:p>
            <w:pPr>
              <w:spacing w:after="0"/>
              <w:rPr>
                <w:sz w:val="13"/>
                <w:szCs w:val="13"/>
                <w:color w:val="auto"/>
              </w:rPr>
            </w:pPr>
          </w:p>
        </w:tc>
        <w:tc>
          <w:tcPr>
            <w:tcW w:w="1500" w:type="dxa"/>
            <w:vAlign w:val="bottom"/>
            <w:gridSpan w:val="2"/>
          </w:tcPr>
          <w:p>
            <w:pPr>
              <w:jc w:val="center"/>
              <w:ind w:right="380"/>
              <w:spacing w:after="0" w:line="157" w:lineRule="exact"/>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3"/>
                <w:szCs w:val="13"/>
                <w:color w:val="auto"/>
              </w:rPr>
            </w:pPr>
          </w:p>
        </w:tc>
        <w:tc>
          <w:tcPr>
            <w:tcW w:w="1380" w:type="dxa"/>
            <w:vAlign w:val="bottom"/>
          </w:tcPr>
          <w:p>
            <w:pPr>
              <w:jc w:val="right"/>
              <w:ind w:right="294"/>
              <w:spacing w:after="0" w:line="157" w:lineRule="exact"/>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20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 w:type="dxa"/>
            <w:vAlign w:val="bottom"/>
          </w:tcPr>
          <w:p>
            <w:pPr>
              <w:spacing w:after="0"/>
              <w:rPr>
                <w:sz w:val="17"/>
                <w:szCs w:val="17"/>
                <w:color w:val="auto"/>
              </w:rPr>
            </w:pPr>
          </w:p>
        </w:tc>
        <w:tc>
          <w:tcPr>
            <w:tcW w:w="15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20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 w:type="dxa"/>
            <w:vAlign w:val="bottom"/>
          </w:tcPr>
          <w:p>
            <w:pPr>
              <w:spacing w:after="0"/>
              <w:rPr>
                <w:sz w:val="17"/>
                <w:szCs w:val="17"/>
                <w:color w:val="auto"/>
              </w:rPr>
            </w:pPr>
          </w:p>
        </w:tc>
        <w:tc>
          <w:tcPr>
            <w:tcW w:w="13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r>
        <w:trPr>
          <w:trHeight w:val="38"/>
        </w:trPr>
        <w:tc>
          <w:tcPr>
            <w:tcW w:w="4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reversal, net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6"/>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10,071</w:t>
            </w: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Company’s allowance for current expected credit losses related to its net investment in leases increased by $0.1 million, respectively, and financed sale receivables decreased by $0.1 million, respectively.</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nine months ended September 30, 2023, the Company’s allowance for current expected credit losses related to its net investment in leases decreased by less than $0.1 million and $0.1 million, respectively, and financed sale receivables decreased by $1.0 million and $0.9 million, respectively.</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Variable Consideration Receivables</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209"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related to Variable Consideration Receivables for the three and nine months ended September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86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4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00" w:type="dxa"/>
            <w:vAlign w:val="bottom"/>
            <w:gridSpan w:val="3"/>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Pr>
          <w:p>
            <w:pPr>
              <w:spacing w:after="0"/>
              <w:rPr>
                <w:sz w:val="19"/>
                <w:szCs w:val="19"/>
                <w:color w:val="auto"/>
              </w:rPr>
            </w:pPr>
          </w:p>
        </w:tc>
      </w:tr>
      <w:tr>
        <w:trPr>
          <w:trHeight w:val="38"/>
        </w:trPr>
        <w:tc>
          <w:tcPr>
            <w:tcW w:w="464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3"/>
        </w:trPr>
        <w:tc>
          <w:tcPr>
            <w:tcW w:w="464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464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3"/>
        </w:trPr>
        <w:tc>
          <w:tcPr>
            <w:tcW w:w="4640" w:type="dxa"/>
            <w:vAlign w:val="bottom"/>
          </w:tcPr>
          <w:p>
            <w:pPr>
              <w:spacing w:after="0"/>
              <w:rPr>
                <w:sz w:val="19"/>
                <w:szCs w:val="19"/>
                <w:color w:val="auto"/>
              </w:rPr>
            </w:pPr>
          </w:p>
        </w:tc>
        <w:tc>
          <w:tcPr>
            <w:tcW w:w="116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440" w:type="dxa"/>
            <w:vAlign w:val="bottom"/>
          </w:tcPr>
          <w:p>
            <w:pPr>
              <w:spacing w:after="0"/>
              <w:rPr>
                <w:sz w:val="19"/>
                <w:szCs w:val="19"/>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Theater</w:t>
            </w:r>
          </w:p>
        </w:tc>
      </w:tr>
      <w:tr>
        <w:trPr>
          <w:trHeight w:val="18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440" w:type="dxa"/>
            <w:vAlign w:val="bottom"/>
          </w:tcPr>
          <w:p>
            <w:pPr>
              <w:spacing w:after="0"/>
              <w:rPr>
                <w:sz w:val="16"/>
                <w:szCs w:val="16"/>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Operators</w:t>
            </w:r>
          </w:p>
        </w:tc>
      </w:tr>
      <w:tr>
        <w:trPr>
          <w:trHeight w:val="38"/>
        </w:trPr>
        <w:tc>
          <w:tcPr>
            <w:tcW w:w="464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2"/>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60" w:type="dxa"/>
            <w:vAlign w:val="bottom"/>
            <w:tcBorders>
              <w:bottom w:val="single" w:sz="8" w:color="CCEEFF"/>
            </w:tcBorders>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0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610</w:t>
            </w:r>
          </w:p>
        </w:tc>
      </w:tr>
      <w:tr>
        <w:trPr>
          <w:trHeight w:val="242"/>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net</w:t>
            </w:r>
          </w:p>
        </w:tc>
        <w:tc>
          <w:tcPr>
            <w:tcW w:w="11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134</w:t>
            </w:r>
          </w:p>
        </w:tc>
      </w:tr>
      <w:tr>
        <w:trPr>
          <w:trHeight w:val="26"/>
        </w:trPr>
        <w:tc>
          <w:tcPr>
            <w:tcW w:w="4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8"/>
        </w:trPr>
        <w:tc>
          <w:tcPr>
            <w:tcW w:w="4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1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(17)</w:t>
            </w:r>
          </w:p>
        </w:tc>
      </w:tr>
      <w:tr>
        <w:trPr>
          <w:trHeight w:val="262"/>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60" w:type="dxa"/>
            <w:vAlign w:val="bottom"/>
            <w:tcBorders>
              <w:top w:val="single" w:sz="8" w:color="auto"/>
              <w:bottom w:val="single" w:sz="8" w:color="auto"/>
            </w:tcBorders>
          </w:tcPr>
          <w:p>
            <w:pPr>
              <w:jc w:val="right"/>
              <w:ind w:right="96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100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727</w:t>
            </w:r>
          </w:p>
        </w:tc>
      </w:tr>
      <w:tr>
        <w:trPr>
          <w:trHeight w:val="20"/>
        </w:trPr>
        <w:tc>
          <w:tcPr>
            <w:tcW w:w="4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Company’s allowance for current expected credit losses related to Variable Consideration Receivables increased by $0.1 million and $0.2 million, respectively (2023 — increased by less than $0.1 million and $0.1 million, respectively).</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ind w:left="180" w:hanging="173"/>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Arrangements</w:t>
      </w:r>
    </w:p>
    <w:p>
      <w:pPr>
        <w:spacing w:after="0" w:line="248"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IMAX Corporation as a Lessee</w:t>
      </w:r>
    </w:p>
    <w:p>
      <w:pPr>
        <w:spacing w:after="0" w:line="253" w:lineRule="exact"/>
        <w:rPr>
          <w:sz w:val="20"/>
          <w:szCs w:val="20"/>
          <w:color w:val="auto"/>
        </w:rPr>
      </w:pPr>
    </w:p>
    <w:p>
      <w:pPr>
        <w:jc w:val="both"/>
        <w:ind w:firstLine="193"/>
        <w:spacing w:after="0" w:line="269" w:lineRule="auto"/>
        <w:rPr>
          <w:sz w:val="20"/>
          <w:szCs w:val="20"/>
          <w:color w:val="auto"/>
        </w:rPr>
      </w:pPr>
      <w:r>
        <w:rPr>
          <w:rFonts w:ascii="Times New Roman" w:cs="Times New Roman" w:eastAsia="Times New Roman" w:hAnsi="Times New Roman"/>
          <w:sz w:val="17"/>
          <w:szCs w:val="17"/>
          <w:color w:val="auto"/>
        </w:rPr>
        <w:t>The Company’s operating lease arrangements principally involve office and warehouse space. Office equipment is generally purchased outright. Leases with an initial term of less than 12 months are not recorded on the Condensed Consolidated Balance Sheets and the related lease expense is recognized as incurred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liabilities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has a finance lease arrangement involving equipment used to facilitate the delivery of live events to certain IMAX locations. The lease arrangement includes an option for the Company to purchase the equipment at the end of the lease term that is reasonably certain to be exercised. The resulting right-of-use assets are being depreciated from the lease commencement dates over the useful life of the underlying equipment. The incremental borrowing rate used in the calculation of the lease liabilities is based on the rate of interest the Company would have to pay to borrow on a collateralized basis over a similar term.</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the components of lease expense recorded within Selling, General and Administrative Expenses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3"/>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tcPr>
          <w:p>
            <w:pPr>
              <w:spacing w:after="0"/>
              <w:rPr>
                <w:sz w:val="21"/>
                <w:szCs w:val="21"/>
                <w:color w:val="auto"/>
              </w:rPr>
            </w:pPr>
          </w:p>
        </w:tc>
        <w:tc>
          <w:tcPr>
            <w:tcW w:w="62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tcPr>
          <w:p>
            <w:pPr>
              <w:spacing w:after="0"/>
              <w:rPr>
                <w:sz w:val="21"/>
                <w:szCs w:val="21"/>
                <w:color w:val="auto"/>
              </w:rPr>
            </w:pP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40" w:type="dxa"/>
            <w:vAlign w:val="bottom"/>
          </w:tcPr>
          <w:p>
            <w:pPr>
              <w:spacing w:after="0"/>
              <w:rPr>
                <w:sz w:val="21"/>
                <w:szCs w:val="21"/>
                <w:color w:val="auto"/>
              </w:rPr>
            </w:pP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operating lease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and variable lease costs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the nine months ended September 30, 2024 and 2023, supplemental cash and non-cash information related to leases is as follows:</w:t>
      </w:r>
    </w:p>
    <w:p>
      <w:pPr>
        <w:spacing w:after="0" w:line="296"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7"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5060950</wp:posOffset>
            </wp:positionH>
            <wp:positionV relativeFrom="paragraph">
              <wp:posOffset>41275</wp:posOffset>
            </wp:positionV>
            <wp:extent cx="20770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77085"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40" w:type="dxa"/>
            <w:vAlign w:val="bottom"/>
          </w:tcPr>
          <w:p>
            <w:pPr>
              <w:spacing w:after="0"/>
              <w:rPr>
                <w:sz w:val="21"/>
                <w:szCs w:val="21"/>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leasing activities: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6"/>
        </w:trPr>
        <w:tc>
          <w:tcPr>
            <w:tcW w:w="7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September 30, 2024 and December 31, 2023, supplemental balance sheet information related to leases is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3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3980" w:type="dxa"/>
            <w:vAlign w:val="bottom"/>
            <w:tcBorders>
              <w:bottom w:val="single" w:sz="8" w:color="CCEEFF"/>
            </w:tcBorders>
          </w:tcPr>
          <w:p>
            <w:pPr>
              <w:spacing w:after="0"/>
              <w:rPr>
                <w:sz w:val="3"/>
                <w:szCs w:val="3"/>
                <w:color w:val="auto"/>
              </w:rPr>
            </w:pPr>
          </w:p>
        </w:tc>
        <w:tc>
          <w:tcPr>
            <w:tcW w:w="1700" w:type="dxa"/>
            <w:vAlign w:val="bottom"/>
            <w:tcBorders>
              <w:bottom w:val="single" w:sz="8" w:color="CCEEFF"/>
            </w:tcBorders>
          </w:tcPr>
          <w:p>
            <w:pPr>
              <w:spacing w:after="0"/>
              <w:rPr>
                <w:sz w:val="3"/>
                <w:szCs w:val="3"/>
                <w:color w:val="auto"/>
              </w:rPr>
            </w:pPr>
          </w:p>
        </w:tc>
        <w:tc>
          <w:tcPr>
            <w:tcW w:w="22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3980" w:type="dxa"/>
            <w:vAlign w:val="bottom"/>
            <w:tcBorders>
              <w:bottom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Assets:</w:t>
            </w:r>
          </w:p>
        </w:tc>
        <w:tc>
          <w:tcPr>
            <w:tcW w:w="1700" w:type="dxa"/>
            <w:vAlign w:val="bottom"/>
            <w:tcBorders>
              <w:bottom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w w:val="98"/>
              </w:rPr>
              <w:t>Balance Sheet Location</w:t>
            </w:r>
          </w:p>
        </w:tc>
        <w:tc>
          <w:tcPr>
            <w:tcW w:w="2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120" w:type="dxa"/>
            <w:vAlign w:val="bottom"/>
          </w:tcPr>
          <w:p>
            <w:pPr>
              <w:spacing w:after="0"/>
              <w:rPr>
                <w:sz w:val="21"/>
                <w:szCs w:val="21"/>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w:t>
            </w:r>
          </w:p>
        </w:tc>
      </w:tr>
      <w:tr>
        <w:trPr>
          <w:trHeight w:val="26"/>
        </w:trPr>
        <w:tc>
          <w:tcPr>
            <w:tcW w:w="3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3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01"/>
        </w:trPr>
        <w:tc>
          <w:tcPr>
            <w:tcW w:w="39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Liabilities:</w:t>
            </w:r>
          </w:p>
        </w:tc>
        <w:tc>
          <w:tcPr>
            <w:tcW w:w="39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Balance Sheet Location</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7"/>
        </w:trPr>
        <w:tc>
          <w:tcPr>
            <w:tcW w:w="398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48"/>
        </w:trPr>
        <w:tc>
          <w:tcPr>
            <w:tcW w:w="3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w:t>
            </w:r>
          </w:p>
        </w:tc>
      </w:tr>
      <w:tr>
        <w:trPr>
          <w:trHeight w:val="242"/>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bl>
    <w:p>
      <w:pPr>
        <w:spacing w:after="0" w:line="3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September 30, 2024 and December 31, 2023, the weighted-average remaining lease term and weighted-average interest rate associated with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leases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8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720" w:type="dxa"/>
            <w:vAlign w:val="bottom"/>
          </w:tcPr>
          <w:p>
            <w:pPr>
              <w:spacing w:after="0"/>
              <w:rPr>
                <w:sz w:val="19"/>
                <w:szCs w:val="19"/>
                <w:color w:val="auto"/>
              </w:rPr>
            </w:pPr>
          </w:p>
        </w:tc>
        <w:tc>
          <w:tcPr>
            <w:tcW w:w="170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168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72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2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7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42"/>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6"/>
        </w:trPr>
        <w:tc>
          <w:tcPr>
            <w:tcW w:w="7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8"/>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5.82 %</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w:t>
            </w:r>
          </w:p>
        </w:tc>
      </w:tr>
      <w:tr>
        <w:trPr>
          <w:trHeight w:val="24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6"/>
        </w:trPr>
        <w:tc>
          <w:tcPr>
            <w:tcW w:w="7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8"/>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2"/>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r>
    </w:tbl>
    <w:p>
      <w:pPr>
        <w:spacing w:after="0" w:line="3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September 30, 2024, the maturities of the Company’s operating and finance lease liabilities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6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38"/>
        </w:trPr>
        <w:tc>
          <w:tcPr>
            <w:tcW w:w="79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(three months remaining)</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35</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35</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 expense</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(8)</w:t>
            </w:r>
          </w:p>
        </w:tc>
      </w:tr>
      <w:tr>
        <w:trPr>
          <w:trHeight w:val="26"/>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IMAX Corporation as a Lessor</w:t>
      </w:r>
    </w:p>
    <w:p>
      <w:pPr>
        <w:spacing w:after="0" w:line="253" w:lineRule="exact"/>
        <w:rPr>
          <w:sz w:val="20"/>
          <w:szCs w:val="20"/>
          <w:color w:val="auto"/>
        </w:rPr>
      </w:pPr>
    </w:p>
    <w:p>
      <w:pPr>
        <w:jc w:val="both"/>
        <w:ind w:firstLine="193"/>
        <w:spacing w:after="0" w:line="251" w:lineRule="auto"/>
        <w:rPr>
          <w:sz w:val="20"/>
          <w:szCs w:val="20"/>
          <w:color w:val="auto"/>
        </w:rPr>
      </w:pPr>
      <w:r>
        <w:rPr>
          <w:rFonts w:ascii="Times New Roman" w:cs="Times New Roman" w:eastAsia="Times New Roman" w:hAnsi="Times New Roman"/>
          <w:sz w:val="18"/>
          <w:szCs w:val="18"/>
          <w:color w:val="auto"/>
        </w:rPr>
        <w:t>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2(o) of the Company’s audited Consolidated Financial Statements included in its 2023 Form 10-K.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p>
    <w:p>
      <w:pPr>
        <w:spacing w:after="0" w:line="21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also provides IMAX Systems to customers through joint revenue sharing arrangements. Under the traditional form of these arrangements, in exchange for providing the IMAX System under a long-term lease, the Company earns rent based on a percentage of contingent box office receipts and, in some cases, concession revenues, rather than a fixed upfront fee or annual</w:t>
      </w:r>
    </w:p>
    <w:p>
      <w:pPr>
        <w:sectPr>
          <w:pgSz w:w="11900" w:h="16838" w:orient="portrait"/>
          <w:cols w:equalWidth="0" w:num="1">
            <w:col w:w="11240"/>
          </w:cols>
          <w:pgMar w:left="320" w:top="362"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payments.</w:t>
      </w:r>
    </w:p>
    <w:p>
      <w:pPr>
        <w:spacing w:after="0" w:line="24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Under certain other joint revenue sharing arrangements, known as hybrid arrangements, the customer is responsible for making fixed upfront payments prior to the delivery and installation of the IMAX System.</w:t>
      </w:r>
    </w:p>
    <w:p>
      <w:pPr>
        <w:spacing w:after="0" w:line="18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Under joint revenue sharing arrangements, the customer has the ability and the right to operate the hardware components or direct others to operate them in a manner determined by the customer. The Company’s joint revenue sharing arrangements are typically non-cancellable for ten years or longer with renewal provisions. Title to the IMAX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p>
    <w:p>
      <w:pPr>
        <w:spacing w:after="0" w:line="215"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lease payments are expected to be received by the Company for its sales-type leases and joint revenue sharing arrangements in each of the next four years and thereafter following the September 30, 2024 balance sheet date: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Sales-Type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Joint Revenue Sharing</w:t>
            </w:r>
          </w:p>
        </w:tc>
      </w:tr>
      <w:tr>
        <w:trPr>
          <w:trHeight w:val="18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16"/>
                <w:szCs w:val="16"/>
                <w:color w:val="auto"/>
              </w:rPr>
            </w:pPr>
          </w:p>
        </w:tc>
        <w:tc>
          <w:tcPr>
            <w:tcW w:w="13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Arrangements</w:t>
            </w:r>
          </w:p>
        </w:tc>
      </w:tr>
      <w:tr>
        <w:trPr>
          <w:trHeight w:val="38"/>
        </w:trPr>
        <w:tc>
          <w:tcPr>
            <w:tcW w:w="79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(three months remaining)</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29,732</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180" w:hanging="173"/>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2"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2024 and December 31, 2023, Inventories consist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67"/>
        </w:trPr>
        <w:tc>
          <w:tcPr>
            <w:tcW w:w="7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9"/>
                <w:szCs w:val="19"/>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27,660</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37,612</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31,584</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September 30, 2024, Inventories include finished goods of $4.7 million (December 31, 2023 — $0.6 million) for which title had passed to the customers, but the criteria for revenue recognition were not met as of the balance sheet date.</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write-downs of $0.1 million and $0.3 million, respectively, (2023 — a recovery of $0.1 million and less than $0.1 million, respectively) in Costs and Expenses Applicable to Revenues ― Technology Sales.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ind w:left="180" w:hanging="173"/>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248"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Revolving Credit Facility Borrowings, Net</w:t>
      </w:r>
    </w:p>
    <w:p>
      <w:pPr>
        <w:spacing w:after="0" w:line="252"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2024 and December 31, 2023, Revolving Credit Facility Borrowings, Net includes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9"/>
                <w:szCs w:val="19"/>
                <w:color w:val="auto"/>
              </w:rPr>
            </w:pPr>
          </w:p>
        </w:tc>
        <w:tc>
          <w:tcPr>
            <w:tcW w:w="134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Credit Facility borrowings</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24,000</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(1,076)</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46,239</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22,924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25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On March 25, 2022, the Company entered into a Sixth Amended and Restated Credit Agreement with Wells Fargo Bank, National Association, as agent (the “Agent”), and a syndicate of lenders party thereto (the “Credit Agreement”), which extended the maturity date of the credit facility under the Credit Agreement (the “Credit Facility”) from June 28, 2023 to March 25, 2027. The Company’s obligations under the Credit Agreement are guaranteed by certain of the Company’s subsidiaries (the “Guarantors”), and are secured by first-priority security interests in substantially all of the assets of the Company and the Guarantors.</w:t>
      </w:r>
    </w:p>
    <w:p>
      <w:pPr>
        <w:spacing w:after="0" w:line="21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color w:val="auto"/>
        </w:rPr>
        <w:t>The Credit Agreement has a revolving borrowing capacity of $300.0 million, and contains an uncommitted accordion feature allowing the Company to further increase its borrowing capacity by the greater of $140.0 million, for a total of $440.0 million, or by the Company’s EBITDA for the sum of the four most recently ended fiscal quarters, subject to certain conditions, depending on the mix of revolving loans and/or term loans under the incremental facility and subject to conditions set forth in the Credit Agreement.</w:t>
      </w:r>
    </w:p>
    <w:p>
      <w:pPr>
        <w:spacing w:after="0" w:line="20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Credit Facility requires that the Company maintain a maximum Senior Secured Net Leverage Ratio (as defined in the Credit Agreement) of no greater than 3.25:1.00, on the last day of each Fiscal Quarter. The Senior Secured Net Leverage Ratio is the ratio of Total Debt (as defined in the Credit Agreement), secured by liens, net of unrestricted cash and cash equivalents held outside of the People’s Republic of China (the “PRC”) up to a maximum of $75.0 million, relative to Adjusted EBITDA per Credit Facility for the four prior quarters. The Senior Secured Net Leverage Ratio is calculated using Adjusted EBITDA per Credit Facility determined on a trailing twelve-month basis. The Company was in compliance with this requirement as of September 30, 2024 as the Senior Secured Net Leverage Ratio was 0.00:1.00.</w:t>
      </w:r>
    </w:p>
    <w:p>
      <w:pPr>
        <w:spacing w:after="0" w:line="21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Loans under the Credit Facility bear interest, at the Company’s option, at (i) Term Secure Overnight Financing Rate (“Term SOFR”), Eurocurrency Rate or Canadian Dollar Offered Rate (“CDOR”) plus a margin ranging from 1.00% to 1.75% per annum; or (ii) the U.S. base rate or the Canadian prime rate plus a margin ranging from 0.25% to 1.00% per annum, in each case depending on the Company’s total leverage ratio. In no event will Term SOFR, Eurocurrency Rate, or CDOR be less than 0.00% per annum.</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2024, borrowings under the Credit Facility were $47.0 million (December 31, 2023 — $24.0 million) and bear interest at Term SOFR, plus a margin of 1.75% per annum based on the Company’s total leverage ratio. The effective interest rate for the three and nine months ended September 30, 2024 was 7.13% and 7.06%, respectively.</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covenants that limit indebtedness, liens, asset sales, investments and restricted payments, in each case subject to negotiated exceptions and baskets. The Credit Agreement also contains customary representations, warranties and event of default provisions.</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no letters of credit or advance payment guarantees outstanding under the Credit Facility. As of September 30, 2024, the amount available for future borrowings under the Credit Facility was $253.0 million (December 31, 2023 — $276.0 million).</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Exchange Facility</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Within the Credit Facility, the Company is able to purchase foreign currency forward contracts and/or other swap arrangements. As of September 30, 2024, the net unrealized gain on the Company’s outstanding foreign currency forward contracts was $0.1 million, representing the amount by which the notional value of these forward contracts exceeded their fair value (December 31, 2023 — net unrealized gain of $0.8 million). As of September 30, 2024, the notional value of the Company’s outstanding foreign currency forward contracts was $31.8 million (December 31, 2023 — $40.6 million).</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Bank of China Facility</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June 2022, IMAX (Shanghai) Multimedia Technology Co., Ltd. (“IMAX Shanghai”), one of the Company’s majority-owned subsidiaries in China, renewed its unsecured revolving facility with Bank of China for up to 200.0 million Chinese Renminbi (“RMB”) ($28.5 million), including RMB 10.0 million ($1.4 million) for letters of guarantee, to fund ongoing working capital requirements (the “Bank of China Facility”). The Bank of China Facility expired in September 2023, and has been renewed to February 21, 2025.</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September 30, 2024, and December 31, 2023, there were no borrowings outstanding under the Bank of China Facility and outstanding letters of guarantee were RMB 0.2 million (less than $0.1 million).</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September 30, 2024, the amount available for future borrowings under the Bank of China Facility was RMB 190.0 million ($27.1 million) and the amount available for letters of guarantee was RMB 9.8 million ($1.4 million). The amount available for future borrowings under the Bank of China Facility is not subject to a standby fee. The effective interest rate for the three and nine months ended September 30, 2024 was 0%, respectively (2023 — 3.85%, respectively).</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HSBC China Facility</w:t>
      </w:r>
    </w:p>
    <w:p>
      <w:pPr>
        <w:spacing w:after="0" w:line="251"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June 2022, IMAX Shanghai entered into an unsecured revolving facility for up to RMB 200.0 million ($28.5 million) with HSBC Bank (China) Company Limited, Shanghai Branch to fund ongoing working capital requirements (the “HSBC China Facility”). As of September 30, 2024 and December 31, 2023, no borrowings were outstanding under the HSBC China Facility. As of September 30, 2024, the amount available for future borrowings under the HSBC China Facility was RMB 200.0 million ($28.5 million). The effective interest rate for the three and nine months ended September 30, 2024 was 0% (2023 — 3.88%).</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NBC Facility</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October 2019, the Company entered into a $5.0 million facility with National Bank of Canada (the “NBC Facility”) fully insured by Export Development Canada for use solely in conjunction with the issuance of performance guarantees and letters of credit. On August 21, 2024, the Company renewed the NBC Facility to August 21, 2025. The NBC Facility is renewable on the same terms and conditions on an annual basis. The Company did not have any letters of credit or advance payment guarantees outstanding as of September 30, 2024 and December 31, 2023 under the NBC Facility.</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and Other Borrowings, Net</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September 30, 2024 and December 31, 2023, Convertible Notes and Other Borrowings, Net includes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9"/>
                <w:szCs w:val="19"/>
                <w:color w:val="auto"/>
              </w:rPr>
            </w:pPr>
          </w:p>
        </w:tc>
        <w:tc>
          <w:tcPr>
            <w:tcW w:w="13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discounts and debt issuance costs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net</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227,760</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226,633</w:t>
            </w:r>
          </w:p>
        </w:tc>
      </w:tr>
      <w:tr>
        <w:trPr>
          <w:trHeight w:val="248"/>
        </w:trPr>
        <w:tc>
          <w:tcPr>
            <w:tcW w:w="79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interest benefit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 net</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r>
      <w:tr>
        <w:trPr>
          <w:trHeight w:val="248"/>
        </w:trPr>
        <w:tc>
          <w:tcPr>
            <w:tcW w:w="79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230,038</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229,131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51" w:lineRule="exact"/>
        <w:rPr>
          <w:sz w:val="20"/>
          <w:szCs w:val="20"/>
          <w:color w:val="auto"/>
        </w:rPr>
      </w:pPr>
    </w:p>
    <w:p>
      <w:pPr>
        <w:jc w:val="both"/>
        <w:ind w:firstLine="161"/>
        <w:spacing w:after="0" w:line="263" w:lineRule="auto"/>
        <w:rPr>
          <w:sz w:val="20"/>
          <w:szCs w:val="20"/>
          <w:color w:val="auto"/>
        </w:rPr>
      </w:pPr>
      <w:r>
        <w:rPr>
          <w:rFonts w:ascii="Times New Roman" w:cs="Times New Roman" w:eastAsia="Times New Roman" w:hAnsi="Times New Roman"/>
          <w:sz w:val="18"/>
          <w:szCs w:val="18"/>
          <w:color w:val="auto"/>
        </w:rPr>
        <w:t>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Convertible Notes are senior unsecured obligations of the Company and bear interest at a rate of 0.500% per annum on the principal of $230.0 million, payable semi-annually in arrears on April 1 and October 1 of each year, beginning on October 1, 2021. The Convertible Notes will mature on April 1, 2026, unless they are redeemed or repurchased by the Company or converted on an earlier date.</w:t>
      </w:r>
    </w:p>
    <w:p>
      <w:pPr>
        <w:spacing w:after="0" w:line="204"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Holders of the Convertible Notes have the right to convert their Convertible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spacing w:after="0" w:line="215"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214"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when they were priced on March 16, 2021, and are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spacing w:after="0" w:line="216"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Capped Call Transactions are separate transactions, are not part of the terms of the Convertible Notes and will not affect any holder’s rights under the Convertible Notes. Holders of the Convertible Notes will not have any rights with respect to the Capped Call Transactions.</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Capped Call Transactions meet all of the applicable criteria for equity classification in accordance with ASC 815-10-15-74(a), “Derivatives and Hedging — Embedded Derivatives — Certain Contracts Involving an Entity’s Own Equity,” and, as a result, the related $19.1 million cost was recorded as a reduction to Other Equity within Shareholders’ Equity on the Company’s Condensed Consolidated Statements of Shareholders’ Equity and Consolidated Balance Sheets.</w:t>
      </w:r>
    </w:p>
    <w:p>
      <w:pPr>
        <w:spacing w:after="0" w:line="209"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continues to record the Convertible Notes entirely as a liability in the Condensed Consolidated Balance Sheets, net of initial purchasers’ discounts and commissions and other debt issuance costs, with interest expense reflecting the cash coupon plus the amortization of the discounts and capitalized costs. Additionally,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Federal Economic Development Loan</w:t>
      </w:r>
    </w:p>
    <w:p>
      <w:pPr>
        <w:spacing w:after="0" w:line="251"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Company’s wholly-owned subsidiary, SSIMWAVE Inc., entered into a contribution agreement with the Federal Economic Development Agency for Southern Ontario (the “Federal Economic Development Loan”) on May 29, 2019, under which SSIMWAVE Inc. received $4.2 million Canadian Dollars ($3.2 million) by way of repayable contributions toward certain eligible projects costs. The contributions under the agreement covered 35% of the eligible and supported costs of SSIMWAVE between January 10, 2019 and December 31, 2022. The contributions were repayable over 60 months, with repayments beginning in January 2024 and an annual interest rate of 0%.</w:t>
      </w:r>
    </w:p>
    <w:p>
      <w:pPr>
        <w:spacing w:after="0" w:line="210"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On January 1, 2024, SSIMWAVE Inc. was amalgamated into the Company. On January 4, 2024, the Federal Economic Development Loan was assigned to the Company with amendment to the repayment term. The contributions under the assigned agreement are repayable over 36 months beginning January 2024, with an annual interest rate of 0%.</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benefit of the interest-free loan has been determined by calculating the present value of the payments using a market-based interest rate and comparing this to the proceeds received. The benefit is recorded as the interest-free benefit of government funding within Interest Income on the Company’s Condensed Consolidated Statements of Operations. The obligation is being accreted to its maturity amount, resulting in an interest expense of $0.1 million and $0.2 million during the three and nine months ended September 30, 2024, respectively, which is being recorded within Interest Expense on the Company’s Condensed Consolidated Statements of Operations.</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September 30, 2024, the Federal Economic Development Loan has a carrying value of $2.3 million, net of unaccreted interest benefit and is recorded within Convertible Notes and Other Borrowings, Net on the Company’s Condensed Consolidated Balance Sheets.</w:t>
      </w:r>
    </w:p>
    <w:p>
      <w:pPr>
        <w:spacing w:after="0" w:line="185" w:lineRule="exact"/>
        <w:rPr>
          <w:sz w:val="20"/>
          <w:szCs w:val="20"/>
          <w:color w:val="auto"/>
        </w:rPr>
      </w:pPr>
    </w:p>
    <w:p>
      <w:pPr>
        <w:ind w:left="200" w:right="7560" w:hanging="193"/>
        <w:spacing w:after="0" w:line="530" w:lineRule="auto"/>
        <w:tabs>
          <w:tab w:leader="none" w:pos="18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Contingencies and Guarantees </w:t>
      </w:r>
      <w:r>
        <w:rPr>
          <w:rFonts w:ascii="Times New Roman" w:cs="Times New Roman" w:eastAsia="Times New Roman" w:hAnsi="Times New Roman"/>
          <w:sz w:val="18"/>
          <w:szCs w:val="18"/>
          <w:b w:val="1"/>
          <w:bCs w:val="1"/>
          <w:i w:val="1"/>
          <w:iCs w:val="1"/>
          <w:color w:val="auto"/>
        </w:rPr>
        <w:t>Commitments</w:t>
      </w:r>
    </w:p>
    <w:p>
      <w:pPr>
        <w:spacing w:after="0" w:line="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the ordinary course of its business, the Company enters into contractual agreements with third parties that include non-cancelable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guarantees</w:t>
      </w:r>
    </w:p>
    <w:p>
      <w:pPr>
        <w:spacing w:after="0" w:line="253"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firstLine="200"/>
        <w:spacing w:after="0" w:line="251" w:lineRule="auto"/>
        <w:tabs>
          <w:tab w:leader="none" w:pos="4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as well as an additional $2,512 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On October 24, 2024, the Bombay High Court announced dismissal of the Company’s application, indicating that a written order will follow. To date, the Company has not received such order, and it fully intends to continue pursuing its rights and seeking to enforce the arbitration award. The Company has also taken steps to enforce the ICC final award outside of India. In December 2011, the Ontario Superior Court of Justice issued an order recognizing the final award and requiring E-City to pay the Company $30,000 to cover the costs of the application, and in May 2012, the New York Supreme Court recognized the Canadian judgment and entered it as a New York judgment.</w:t>
      </w:r>
    </w:p>
    <w:p>
      <w:pPr>
        <w:spacing w:after="0" w:line="217" w:lineRule="exact"/>
        <w:rPr>
          <w:rFonts w:ascii="Times New Roman" w:cs="Times New Roman" w:eastAsia="Times New Roman" w:hAnsi="Times New Roman"/>
          <w:sz w:val="18"/>
          <w:szCs w:val="18"/>
          <w:color w:val="auto"/>
        </w:rPr>
      </w:pPr>
    </w:p>
    <w:p>
      <w:pPr>
        <w:jc w:val="both"/>
        <w:ind w:firstLine="200"/>
        <w:spacing w:after="0" w:line="263" w:lineRule="auto"/>
        <w:tabs>
          <w:tab w:leader="none" w:pos="4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204" w:lineRule="exact"/>
        <w:rPr>
          <w:rFonts w:ascii="Times New Roman" w:cs="Times New Roman" w:eastAsia="Times New Roman" w:hAnsi="Times New Roman"/>
          <w:sz w:val="18"/>
          <w:szCs w:val="18"/>
          <w:color w:val="auto"/>
        </w:rPr>
      </w:pPr>
    </w:p>
    <w:p>
      <w:pPr>
        <w:jc w:val="both"/>
        <w:ind w:firstLine="200"/>
        <w:spacing w:after="0" w:line="256" w:lineRule="auto"/>
        <w:tabs>
          <w:tab w:leader="none" w:pos="5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Certain subsidiaries of the Company have provided significant financial guarantees to third parties under the Credit Agreement.</w:t>
      </w: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Company’s accrual for product warranties, which is recorded within Accrued and Other Liabilities in the Condensed Consolidated Balance Sheets, was less than $0.1 million as of September 30, 2024 and December 31, 2023, respectively.</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Times New Roman" w:cs="Times New Roman" w:eastAsia="Times New Roman" w:hAnsi="Times New Roman"/>
          <w:sz w:val="18"/>
          <w:szCs w:val="18"/>
          <w:i w:val="1"/>
          <w:iCs w:val="1"/>
          <w:color w:val="auto"/>
        </w:rPr>
        <w:t>Canada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against expenses (including legal fees), judgments, fines and any amounts actually and reasonably incurred by them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Company’s Condensed Consolidated Balance Sheets as of September 30, 2024 and December 31, 2023, with respect to this indemnity.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Indemnification Agreements</w:t>
      </w:r>
    </w:p>
    <w:p>
      <w:pPr>
        <w:spacing w:after="0" w:line="253"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7"/>
          <w:szCs w:val="17"/>
          <w:color w:val="auto"/>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199" w:lineRule="exact"/>
        <w:rPr>
          <w:sz w:val="20"/>
          <w:szCs w:val="20"/>
          <w:color w:val="auto"/>
        </w:rPr>
      </w:pPr>
    </w:p>
    <w:p>
      <w:pPr>
        <w:ind w:left="200" w:right="4980" w:hanging="193"/>
        <w:spacing w:after="0" w:line="530" w:lineRule="auto"/>
        <w:tabs>
          <w:tab w:leader="none" w:pos="18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Condensed Consolidated Statements of Operations – Supplemental Information </w:t>
      </w:r>
      <w:r>
        <w:rPr>
          <w:rFonts w:ascii="Times New Roman" w:cs="Times New Roman" w:eastAsia="Times New Roman" w:hAnsi="Times New Roman"/>
          <w:sz w:val="18"/>
          <w:szCs w:val="18"/>
          <w:b w:val="1"/>
          <w:bCs w:val="1"/>
          <w:i w:val="1"/>
          <w:iCs w:val="1"/>
          <w:color w:val="auto"/>
        </w:rPr>
        <w:t>Selling Expenses</w:t>
      </w:r>
    </w:p>
    <w:p>
      <w:pPr>
        <w:spacing w:after="0" w:line="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Company’s selling expenses, including sales commissions and marketing and other, which are recognized within Costs and Expenses Applicable to Revenues in the Condensed Consolidated Statements of Operations, for three and nine months ended September 30, 2024 and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0"/>
        </w:trPr>
        <w:tc>
          <w:tcPr>
            <w:tcW w:w="4600" w:type="dxa"/>
            <w:vAlign w:val="bottom"/>
          </w:tcPr>
          <w:p>
            <w:pPr>
              <w:spacing w:after="0"/>
              <w:rPr>
                <w:sz w:val="14"/>
                <w:szCs w:val="14"/>
                <w:color w:val="auto"/>
              </w:rPr>
            </w:pPr>
          </w:p>
        </w:tc>
        <w:tc>
          <w:tcPr>
            <w:tcW w:w="12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2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Marketing</w:t>
            </w:r>
          </w:p>
        </w:tc>
      </w:tr>
      <w:tr>
        <w:trPr>
          <w:trHeight w:val="18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and Other</w:t>
            </w:r>
          </w:p>
        </w:tc>
      </w:tr>
      <w:tr>
        <w:trPr>
          <w:trHeight w:val="38"/>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62"/>
        </w:trPr>
        <w:tc>
          <w:tcPr>
            <w:tcW w:w="460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Technology sales</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258</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301</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6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r>
              <w:rPr>
                <w:rFonts w:ascii="Times New Roman" w:cs="Times New Roman" w:eastAsia="Times New Roman" w:hAnsi="Times New Roman"/>
                <w:sz w:val="23"/>
                <w:szCs w:val="23"/>
                <w:color w:val="auto"/>
                <w:vertAlign w:val="superscript"/>
              </w:rPr>
              <w:t>(2)</w:t>
            </w:r>
          </w:p>
        </w:tc>
        <w:tc>
          <w:tcPr>
            <w:tcW w:w="1200" w:type="dxa"/>
            <w:vAlign w:val="bottom"/>
          </w:tcPr>
          <w:p>
            <w:pPr>
              <w:spacing w:after="0"/>
              <w:rPr>
                <w:sz w:val="23"/>
                <w:szCs w:val="23"/>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r>
      <w:tr>
        <w:trPr>
          <w:trHeight w:val="26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rentals</w:t>
            </w:r>
            <w:r>
              <w:rPr>
                <w:rFonts w:ascii="Times New Roman" w:cs="Times New Roman" w:eastAsia="Times New Roman" w:hAnsi="Times New Roman"/>
                <w:sz w:val="23"/>
                <w:szCs w:val="23"/>
                <w:color w:val="auto"/>
                <w:vertAlign w:val="superscript"/>
              </w:rPr>
              <w:t>(3)</w:t>
            </w:r>
          </w:p>
        </w:tc>
        <w:tc>
          <w:tcPr>
            <w:tcW w:w="12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128</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386</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339</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w:t>
            </w:r>
          </w:p>
        </w:tc>
      </w:tr>
      <w:tr>
        <w:trPr>
          <w:trHeight w:val="20"/>
        </w:trPr>
        <w:tc>
          <w:tcPr>
            <w:tcW w:w="4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right="20" w:hanging="315"/>
        <w:spacing w:after="0" w:line="259" w:lineRule="auto"/>
        <w:tabs>
          <w:tab w:leader="none" w:pos="332"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paid prior to the recognition of the related revenue are deferred and recognized upon the client acceptance of the IMAX System. Direct advertising and marketing costs for each IMAX System are expensed as incurred.</w:t>
      </w:r>
    </w:p>
    <w:p>
      <w:pPr>
        <w:ind w:left="340" w:hanging="315"/>
        <w:spacing w:after="0"/>
        <w:tabs>
          <w:tab w:leader="none" w:pos="34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Film exploitation costs, including advertising and marketing costs, are expensed as incurred.</w:t>
      </w:r>
    </w:p>
    <w:p>
      <w:pPr>
        <w:spacing w:after="0" w:line="13" w:lineRule="exact"/>
        <w:rPr>
          <w:rFonts w:ascii="Times New Roman" w:cs="Times New Roman" w:eastAsia="Times New Roman" w:hAnsi="Times New Roman"/>
          <w:sz w:val="14"/>
          <w:szCs w:val="14"/>
          <w:i w:val="1"/>
          <w:iCs w:val="1"/>
          <w:color w:val="auto"/>
        </w:rPr>
      </w:pPr>
    </w:p>
    <w:p>
      <w:pPr>
        <w:jc w:val="both"/>
        <w:ind w:left="340" w:right="20" w:hanging="315"/>
        <w:spacing w:after="0" w:line="279" w:lineRule="auto"/>
        <w:tabs>
          <w:tab w:leader="none" w:pos="332"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related to joint revenue sharing arrangements accounted for as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56"/>
        </w:trPr>
        <w:tc>
          <w:tcPr>
            <w:tcW w:w="4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420"/>
              <w:spacing w:after="0" w:line="157"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80" w:type="dxa"/>
            <w:vAlign w:val="bottom"/>
          </w:tcPr>
          <w:p>
            <w:pPr>
              <w:spacing w:after="0"/>
              <w:rPr>
                <w:sz w:val="13"/>
                <w:szCs w:val="13"/>
                <w:color w:val="auto"/>
              </w:rPr>
            </w:pPr>
          </w:p>
        </w:tc>
        <w:tc>
          <w:tcPr>
            <w:tcW w:w="1400" w:type="dxa"/>
            <w:vAlign w:val="bottom"/>
            <w:gridSpan w:val="2"/>
          </w:tcPr>
          <w:p>
            <w:pPr>
              <w:jc w:val="center"/>
              <w:ind w:right="440"/>
              <w:spacing w:after="0" w:line="157" w:lineRule="exact"/>
              <w:rPr>
                <w:sz w:val="20"/>
                <w:szCs w:val="20"/>
                <w:color w:val="auto"/>
              </w:rPr>
            </w:pPr>
            <w:r>
              <w:rPr>
                <w:rFonts w:ascii="Times New Roman" w:cs="Times New Roman" w:eastAsia="Times New Roman" w:hAnsi="Times New Roman"/>
                <w:sz w:val="14"/>
                <w:szCs w:val="14"/>
                <w:b w:val="1"/>
                <w:bCs w:val="1"/>
                <w:color w:val="auto"/>
              </w:rPr>
              <w:t>Marketing</w:t>
            </w:r>
          </w:p>
        </w:tc>
        <w:tc>
          <w:tcPr>
            <w:tcW w:w="260" w:type="dxa"/>
            <w:vAlign w:val="bottom"/>
          </w:tcPr>
          <w:p>
            <w:pPr>
              <w:spacing w:after="0"/>
              <w:rPr>
                <w:sz w:val="13"/>
                <w:szCs w:val="13"/>
                <w:color w:val="auto"/>
              </w:rPr>
            </w:pPr>
          </w:p>
        </w:tc>
        <w:tc>
          <w:tcPr>
            <w:tcW w:w="1460" w:type="dxa"/>
            <w:vAlign w:val="bottom"/>
            <w:gridSpan w:val="2"/>
          </w:tcPr>
          <w:p>
            <w:pPr>
              <w:jc w:val="center"/>
              <w:ind w:right="400"/>
              <w:spacing w:after="0" w:line="157"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80" w:type="dxa"/>
            <w:vAlign w:val="bottom"/>
          </w:tcPr>
          <w:p>
            <w:pPr>
              <w:spacing w:after="0"/>
              <w:rPr>
                <w:sz w:val="13"/>
                <w:szCs w:val="13"/>
                <w:color w:val="auto"/>
              </w:rPr>
            </w:pPr>
          </w:p>
        </w:tc>
        <w:tc>
          <w:tcPr>
            <w:tcW w:w="1280" w:type="dxa"/>
            <w:vAlign w:val="bottom"/>
          </w:tcPr>
          <w:p>
            <w:pPr>
              <w:jc w:val="right"/>
              <w:ind w:right="377"/>
              <w:spacing w:after="0" w:line="157" w:lineRule="exact"/>
              <w:rPr>
                <w:sz w:val="20"/>
                <w:szCs w:val="20"/>
                <w:color w:val="auto"/>
              </w:rPr>
            </w:pPr>
            <w:r>
              <w:rPr>
                <w:rFonts w:ascii="Times New Roman" w:cs="Times New Roman" w:eastAsia="Times New Roman" w:hAnsi="Times New Roman"/>
                <w:sz w:val="14"/>
                <w:szCs w:val="14"/>
                <w:b w:val="1"/>
                <w:bCs w:val="1"/>
                <w:color w:val="auto"/>
              </w:rPr>
              <w:t>Marketing</w:t>
            </w:r>
          </w:p>
        </w:tc>
      </w:tr>
      <w:tr>
        <w:trPr>
          <w:trHeight w:val="20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28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7"/>
                <w:szCs w:val="17"/>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280" w:type="dxa"/>
            <w:vAlign w:val="bottom"/>
          </w:tcPr>
          <w:p>
            <w:pPr>
              <w:spacing w:after="0"/>
              <w:rPr>
                <w:sz w:val="17"/>
                <w:szCs w:val="17"/>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and Other</w:t>
            </w:r>
          </w:p>
        </w:tc>
      </w:tr>
      <w:tr>
        <w:trPr>
          <w:trHeight w:val="38"/>
        </w:trPr>
        <w:tc>
          <w:tcPr>
            <w:tcW w:w="46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62"/>
        </w:trPr>
        <w:tc>
          <w:tcPr>
            <w:tcW w:w="460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Technology sales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6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13,088</w:t>
            </w:r>
          </w:p>
        </w:tc>
      </w:tr>
      <w:tr>
        <w:trPr>
          <w:trHeight w:val="26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rentals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14,798</w:t>
            </w:r>
          </w:p>
        </w:tc>
      </w:tr>
      <w:tr>
        <w:trPr>
          <w:trHeight w:val="20"/>
        </w:trPr>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right="220" w:hanging="315"/>
        <w:spacing w:after="0" w:line="269" w:lineRule="auto"/>
        <w:tabs>
          <w:tab w:leader="none" w:pos="332"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paid prior to the recognition of the related revenue are deferred and recognized upon the client acceptance of the IMAX System. Direct advertising and marketing costs for each IMAX System are expensed as incurred.</w:t>
      </w:r>
    </w:p>
    <w:p>
      <w:pPr>
        <w:ind w:left="340" w:hanging="315"/>
        <w:spacing w:after="0"/>
        <w:tabs>
          <w:tab w:leader="none" w:pos="34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Film exploitation costs, including advertising and marketing costs, are expensed as incurred.</w:t>
      </w:r>
    </w:p>
    <w:p>
      <w:pPr>
        <w:spacing w:after="0" w:line="13" w:lineRule="exact"/>
        <w:rPr>
          <w:rFonts w:ascii="Times New Roman" w:cs="Times New Roman" w:eastAsia="Times New Roman" w:hAnsi="Times New Roman"/>
          <w:sz w:val="14"/>
          <w:szCs w:val="14"/>
          <w:i w:val="1"/>
          <w:iCs w:val="1"/>
          <w:color w:val="auto"/>
        </w:rPr>
      </w:pPr>
    </w:p>
    <w:p>
      <w:pPr>
        <w:ind w:left="340" w:right="140" w:hanging="315"/>
        <w:spacing w:after="0" w:line="259" w:lineRule="auto"/>
        <w:tabs>
          <w:tab w:leader="none" w:pos="332"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related to joint revenue sharing arrangements accounted for as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w:t>
      </w: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Included in Selling, General and Administrative Expenses for the three and nine months ended September 30, 2024 are foreign currency net losses of $0.3 million and $0.8 million, respectively (2023 — net losses of $0.2 million and $0.8 million, respectively) resulting from changes in exchange rates related to foreign currency denominated monetary assets and liabilities. See Note 15 for additional information.</w:t>
      </w:r>
    </w:p>
    <w:p>
      <w:pPr>
        <w:sectPr>
          <w:pgSz w:w="11900" w:h="16838" w:orient="portrait"/>
          <w:cols w:equalWidth="0" w:num="1">
            <w:col w:w="11240"/>
          </w:cols>
          <w:pgMar w:left="320" w:top="362"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251"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accounting policy for the Company’s joint revenue sharing arrangements is disclosed in Note 2(o) of the Company’s audited Consolidated Financial Statements in its 2023 Form 10-K.</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joint revenue sharing arrangements are recorded within Revenues — Technology Sales (for hybrid joint revenue sharing arrangements) and Revenues — Technology Rentals (for traditional joint revenue sharing arrangements). For the three and nine months ended September 30, 2024, such revenues totaled $15.9 million and $48.4 million, respectively (2023 — $23.1 million and $63.8 million, respectively).</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Film Remastering and Distribution</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In an IMAX Film Remastering and distribution arrangement, the Company receives a percentage of the box office receipts from a third party who owns the copyright to a film in exchange for converting the film into IMAX format and distributing it through the IMAX network. The fee earned by the Company in a typical IMAX Film Remastering and distribution arrangement averages approximately 12.5% of box office receipts (i.e. gross box office receipts less applicable sales taxes), except for within mainland China, where the Company receives a lower percentage of net box office receipts for certain Hollywood films. The accounting policy for the Company’s Film Remastering and distribution arrangements is disclosed in Note 2(o) of the Company’s audited Consolidated Financial Statements in its 2023 Form 10-K.</w:t>
      </w:r>
    </w:p>
    <w:p>
      <w:pPr>
        <w:spacing w:after="0" w:line="21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IMAX Film Remastering and distribution arrangements are included in Revenues – Image Enhancement and Maintenance Services. For the three and nine months ended September 30, 2024, such revenues totaled $26.7 million and $77.7 million, respectively (2023 — $42.5 million and $101.8 million, respectively). See Note 12 for a disaggregated presentation of the Company’s revenues.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Co-Produced Film Arrangements</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certain film arrangements, the Company co-produces a film with a third party whereby the third party retains the copyright and certain other rights to the film. In some cases, the Company obtains exclusive theatrical distribution rights to the film. Under these arrangements, both parties contribute to the funding of the production, distribution and exploitation costs associated with the film.</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2024, the Company is party to one co-produced film arrangement, which represents the VIE total assets balance of $1.4 million and liabilities balance of $0.2 million, and five other co-produced film arrangements, the terms of which are similar. The accounting policies relating to co-produced film arrangements are disclosed in Notes 2(a) and 3(o) of the Company’s audited Consolidated Financial Statements in its 2023 Form 10-K.</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nine months ended September 30, 2024, an expense of $0.2 million and $3.2 million, respectively (2023 — $0.2 million and $0.5 million, respectively) attributable to transactions between the Company and other parties involved in the production of the films have been included in Costs and Expenses Applicable to Revenues ― Image Enhancement and Maintenance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Condensed Consolidated Statements of Cash Flows – Supplemental Information</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in other operating assets and liabilities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receivables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40" w:type="dxa"/>
            <w:vAlign w:val="bottom"/>
          </w:tcPr>
          <w:p>
            <w:pPr>
              <w:spacing w:after="0"/>
              <w:rPr>
                <w:sz w:val="21"/>
                <w:szCs w:val="21"/>
                <w:color w:val="auto"/>
              </w:rPr>
            </w:pP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consideration receivables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7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supporting joint revenue sharing arrangements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17,228</w:t>
            </w:r>
          </w:p>
        </w:tc>
        <w:tc>
          <w:tcPr>
            <w:tcW w:w="0" w:type="dxa"/>
            <w:vAlign w:val="bottom"/>
          </w:tcPr>
          <w:p>
            <w:pPr>
              <w:spacing w:after="0"/>
              <w:rPr>
                <w:sz w:val="1"/>
                <w:szCs w:val="1"/>
                <w:color w:val="auto"/>
              </w:rPr>
            </w:pPr>
          </w:p>
        </w:tc>
      </w:tr>
      <w:tr>
        <w:trPr>
          <w:trHeight w:val="268"/>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0" w:type="dxa"/>
            <w:vAlign w:val="bottom"/>
          </w:tcPr>
          <w:p>
            <w:pPr>
              <w:spacing w:after="0"/>
              <w:rPr>
                <w:sz w:val="1"/>
                <w:szCs w:val="1"/>
                <w:color w:val="auto"/>
              </w:rPr>
            </w:pPr>
          </w:p>
        </w:tc>
      </w:tr>
      <w:tr>
        <w:trPr>
          <w:trHeight w:val="26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0" w:type="dxa"/>
            <w:vAlign w:val="bottom"/>
          </w:tcPr>
          <w:p>
            <w:pPr>
              <w:spacing w:after="0"/>
              <w:rPr>
                <w:sz w:val="1"/>
                <w:szCs w:val="1"/>
                <w:color w:val="auto"/>
              </w:rPr>
            </w:pPr>
          </w:p>
        </w:tc>
      </w:tr>
      <w:tr>
        <w:trPr>
          <w:trHeight w:val="26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4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48,902</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right="20" w:hanging="315"/>
        <w:spacing w:after="0" w:line="269" w:lineRule="auto"/>
        <w:tabs>
          <w:tab w:leader="none" w:pos="332"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the amortization of laser projection systems, camera, and lens upgrades recorded in Research and Development on the Condensed Consolidated Statements of Operations of $0.4 million in the nine months ended September 30, 2024 (2023 — $0.4 million).</w:t>
      </w:r>
    </w:p>
    <w:p>
      <w:pPr>
        <w:ind w:left="340" w:right="20" w:hanging="315"/>
        <w:spacing w:after="0" w:line="259" w:lineRule="auto"/>
        <w:tabs>
          <w:tab w:leader="none" w:pos="332"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the amortization of licenses and intellectual property recorded in Research and Development on the Condensed Consolidated Statements of Operations of $1.0 million in the nine months ended September 30, 2024 (2023 — $1.0 million).</w:t>
      </w:r>
    </w:p>
    <w:p>
      <w:pPr>
        <w:spacing w:after="0" w:line="1"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the amortization of lessee incentives provided by the Company to its customers under joint revenue sharing arrangements.</w:t>
      </w:r>
    </w:p>
    <w:p>
      <w:pPr>
        <w:spacing w:after="0" w:line="3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Write-downs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supporting joint revenue sharing arrangements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20" w:right="20" w:firstLine="5"/>
        <w:spacing w:after="0" w:line="299" w:lineRule="auto"/>
        <w:tabs>
          <w:tab w:leader="none" w:pos="23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nine months ended September 30, 2024, the Company recorded charges of $2.7 million (2023 ― $0.5 million) in Costs and Expenses Applicable to Revenues ― Technology Rentals mostly related to the write-down of systems under joint revenue sharing arrangements resulting from contract amendments, as well as the permanent closure of one IMAX System.</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Significant non-cash investing activities</w:t>
      </w:r>
    </w:p>
    <w:p>
      <w:pPr>
        <w:spacing w:after="0" w:line="300"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accruals related to:</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equipment supporting joint revenue sharing arrangements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tcPr>
          <w:p>
            <w:pPr>
              <w:spacing w:after="0"/>
              <w:rPr>
                <w:sz w:val="21"/>
                <w:szCs w:val="21"/>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8"/>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4"/>
          <w:szCs w:val="14"/>
          <w:i w:val="1"/>
          <w:iCs w:val="1"/>
          <w:color w:val="auto"/>
        </w:rPr>
        <w:t>(1)</w:t>
        <w:tab/>
        <w:t>Refer to Note 4 for supplemental disclosure of non-cash leasing activities.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2024, the Company recorded an income tax expense of $2.4 million (2023 — tax expense of $6.6 million). The Company’s effective tax rate of 13.4% for the three months ended September 30, 2024 differs from the Canadian statutory rate of 26.5% primarily due to tax rate differences in foreign jurisdictions and a decrease in the valuation allowance, which was partially offset by an increase in tax reserves, tax return adjustments and withholding taxes. The Company’s effective tax rate of 30.4% for the three months ended September 30, 2023 differs from the Canadian statutory rate of 26.5% primarily due to tax rate differences in foreign jurisdictions, which was offset by an increase in the valuation allowance, tax return adjustments and withholding taxes.</w:t>
      </w:r>
    </w:p>
    <w:p>
      <w:pPr>
        <w:spacing w:after="0" w:line="214"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2024, the Company recorded an income tax expense of $3.5 million (2023 — tax expense of $14.9 million). The Company’s effective tax rate of 12.0% for the nine months ended September 30, 2024 differs from the Canadian statutory rate of 26.5% primarily due to tax rate differences in foreign jurisdictions and a tax benefit related to an internal asset sale during the second quarter which was partially offset by an increase in the valuation allowance, tax reserves, tax return adjustments, withholding taxes and a shortfall in tax benefits related to share-based compensation. The Company’s effective tax rate of 33.4% for the nine months ended September 30, 2023 differs from the Canadian statutory rate of 26.5% primarily due to tax rate differences in foreign jurisdictions which was offset by an increase in the valuation allowance, tax return adjustments and withholding taxes.</w:t>
      </w:r>
    </w:p>
    <w:p>
      <w:pPr>
        <w:spacing w:after="0" w:line="21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2024, the Company completed an internal asset sale to more closely align its intellectual property ownership with its operations. In order to effect this internal asset sale, transactions between entities within the group resulted in capital gains for tax purposes. The tax expense related to the capital gain was partially offset by the reversal of the valuation allowance. Net deferred tax assets were also recorded on the transaction, resulting in a net tax benefit of $7.7 million.</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Company’s Condensed Consolidated Balance Sheets includes net deferred income tax assets of $15.7 million (December 31, 2023 — $8.0 million). Realization of net deferred tax assets is dependent upon generation of sufficient taxable income in future years to obtain benefit from the reversal of temporary differences, net operating loss carryforwards and tax credit carryforwards. The amount of net deferred tax assets considered realizable is subject to adjustment in future periods if estimates of future taxable income change.</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2024, the Company’s Condensed Consolidated Balance Sheets also include deferred tax liabilities of $12.5 million (December 31, 2023 — $12.5 million) primarily related to foreign withholding taxes associated with the remaining balance of non-repatriated historical earnings that will not be indefinitely reinvested outside of Canada.</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 Buyback Tax</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Legislation to introduce a 2% tax on the value of certain share buybacks net of share issuances by publicly traded Canadian-resident corporations was enacted during the second quarter of 2024. The tax applies to net share repurchases on or after January 1, 2024, with certain exceptions. The tax is imposed on the repurchasing corporation itself and will be included in the cost basis of the repurchased treasury stock. The Company has recorded a tax liability in the amount of $0.1 million at September 30, 2024.</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Capital Stock and Reserves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2024, share-based compensation expense totaled $5.4 million and $16.9 million, respectively (2023 — $5.2 million and $17.1 million, respectively) and is reflected in the following accounts in the Condensed Consolidated Statements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rates)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 applicable to revenues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transition costs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share-based compensation expense (recovery) by each award type: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rates)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 Units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China Stock Options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IMAX China Long Term Incentive Plan Restricted Share Units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China Long Term Incentive Plan Performance Stock</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6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Company’s share-based compensation expense includes $0.1 million and $1.8 million related to restricted share units granted to non-employees (2023 — $nil and $1.7 million, respectively).</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Stock Option Summary</w:t>
      </w:r>
    </w:p>
    <w:p>
      <w:pPr>
        <w:spacing w:after="0" w:line="251"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activity under the Company’s Stock Option Plan (“SOP”) and the IMAX Corporation Second Amended and Restated Long-Term Incentive Plan (as may be amended, “IMAX LTIP”) for the nine months ended September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4"/>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r>
      <w:tr>
        <w:trPr>
          <w:trHeight w:val="187"/>
        </w:trPr>
        <w:tc>
          <w:tcPr>
            <w:tcW w:w="4600" w:type="dxa"/>
            <w:vAlign w:val="bottom"/>
          </w:tcPr>
          <w:p>
            <w:pPr>
              <w:spacing w:after="0"/>
              <w:rPr>
                <w:sz w:val="16"/>
                <w:szCs w:val="16"/>
                <w:color w:val="auto"/>
              </w:rPr>
            </w:pPr>
          </w:p>
        </w:tc>
        <w:tc>
          <w:tcPr>
            <w:tcW w:w="22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04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3,329,422</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3,604,739</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(607,114)</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(275,317)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2,715,853</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3,329,422</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exercisable, end of period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2,715,853</w:t>
            </w:r>
          </w:p>
        </w:tc>
        <w:tc>
          <w:tcPr>
            <w:tcW w:w="1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3,329,422</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0"/>
        </w:trPr>
        <w:tc>
          <w:tcPr>
            <w:tcW w:w="4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Stock options are no longer granted under the Company’s previously approved SOP.</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Restricted Share Units (“RSU”) Summary</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RSUs issued under the IMAX LTIP for the nine months ended September 30, 2024 and 2023:</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4"/>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187"/>
        </w:trPr>
        <w:tc>
          <w:tcPr>
            <w:tcW w:w="4600" w:type="dxa"/>
            <w:vAlign w:val="bottom"/>
          </w:tcPr>
          <w:p>
            <w:pPr>
              <w:spacing w:after="0"/>
              <w:rPr>
                <w:sz w:val="16"/>
                <w:szCs w:val="16"/>
                <w:color w:val="auto"/>
              </w:rPr>
            </w:pPr>
          </w:p>
        </w:tc>
        <w:tc>
          <w:tcPr>
            <w:tcW w:w="22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94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1,286,830</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1,252,044</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948,261</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898,680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6"/>
        </w:trPr>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settled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(698,187)</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(742,406)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(47,474)</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1,489,430</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1,312,808</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Performance Stock Units (“PSU”) Summary</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grants two types of PSU awards, one which vests based on a combination of employee service and the achievement of certain Adjusted EBITDA targets and one which vests based on a combination of employee service and the achievement of total shareholder return (“TSR”) targets. The achievement of the Adjusted EBITDA and TSR targets in these PSUs is determined over a three-year performance period. At the conclusion of the three-year performance period, the number of PSUs that ultimately vest can range from 0% to a maximum vesting opportunity of 175% of the initial Adjusted EBITDA PSU award or 175% of the initial TSR PSU award for awards issued in 2022 and 150% of the initial TSR PSU award for awards issued in 2023 and thereafter, depending upon actual performance versus the established Adjusted EBITDA and TSR targets, respectively.</w:t>
      </w:r>
    </w:p>
    <w:p>
      <w:pPr>
        <w:spacing w:after="0" w:line="21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grant date fair value of PSUs with Adjusted EBITDA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Model. The compensation expense attributable to each type of PSU is recognized on a straight-line basis over the requisite service period.</w:t>
      </w:r>
    </w:p>
    <w:p>
      <w:pPr>
        <w:spacing w:after="0" w:line="209"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7"/>
          <w:szCs w:val="17"/>
          <w:color w:val="auto"/>
        </w:rPr>
        <w:t>The fair value determined by the Monte Carlo Model is affected by the Company’s share price, as well as assumptions regarding a number of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186"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Adjusted EBITDA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 The expense recognized in the nine months ended September 30, 2024 and 2023 includes adjustments reflecting management’s estimate of the number of Adjusted EBITDA PSUs expected to vest.</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PSUs issued under the IMAX LTIP for the nine months ended September 30, 2024 and 2023:</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80" w:type="dxa"/>
            <w:vAlign w:val="bottom"/>
            <w:gridSpan w:val="4"/>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201"/>
        </w:trPr>
        <w:tc>
          <w:tcPr>
            <w:tcW w:w="4600" w:type="dxa"/>
            <w:vAlign w:val="bottom"/>
          </w:tcPr>
          <w:p>
            <w:pPr>
              <w:spacing w:after="0"/>
              <w:rPr>
                <w:sz w:val="17"/>
                <w:szCs w:val="17"/>
                <w:color w:val="auto"/>
              </w:rPr>
            </w:pPr>
          </w:p>
        </w:tc>
        <w:tc>
          <w:tcPr>
            <w:tcW w:w="228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940" w:type="dxa"/>
            <w:vAlign w:val="bottom"/>
          </w:tcPr>
          <w:p>
            <w:pPr>
              <w:spacing w:after="0"/>
              <w:rPr>
                <w:sz w:val="17"/>
                <w:szCs w:val="17"/>
                <w:color w:val="auto"/>
              </w:rPr>
            </w:pPr>
          </w:p>
        </w:tc>
      </w:tr>
      <w:tr>
        <w:trPr>
          <w:trHeight w:val="38"/>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922,621</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w w:val="99"/>
              </w:rPr>
              <w:t>931,716</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68"/>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580,336</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9"/>
              </w:rPr>
              <w:t>585,602</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68"/>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settled</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(316,226)</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9"/>
              </w:rPr>
              <w:t>(368,602)</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68"/>
        </w:trPr>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(2)</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(85,764)</w:t>
            </w:r>
          </w:p>
        </w:tc>
        <w:tc>
          <w:tcPr>
            <w:tcW w:w="14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left="154"/>
              <w:spacing w:after="0"/>
              <w:rPr>
                <w:sz w:val="20"/>
                <w:szCs w:val="20"/>
                <w:color w:val="auto"/>
              </w:rPr>
            </w:pPr>
            <w:r>
              <w:rPr>
                <w:rFonts w:ascii="Times New Roman" w:cs="Times New Roman" w:eastAsia="Times New Roman" w:hAnsi="Times New Roman"/>
                <w:sz w:val="18"/>
                <w:szCs w:val="18"/>
                <w:color w:val="auto"/>
                <w:w w:val="99"/>
              </w:rPr>
              <w:t>(215,376)</w:t>
            </w:r>
          </w:p>
        </w:tc>
        <w:tc>
          <w:tcPr>
            <w:tcW w:w="14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tcPr>
          <w:p>
            <w:pPr>
              <w:spacing w:after="0"/>
              <w:rPr>
                <w:sz w:val="23"/>
                <w:szCs w:val="23"/>
                <w:color w:val="auto"/>
              </w:rPr>
            </w:pPr>
          </w:p>
        </w:tc>
        <w:tc>
          <w:tcPr>
            <w:tcW w:w="62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1,100,967</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w w:val="99"/>
              </w:rPr>
              <w:t>933,340</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56" w:lineRule="exact"/>
        <w:rPr>
          <w:sz w:val="20"/>
          <w:szCs w:val="20"/>
          <w:color w:val="auto"/>
        </w:rPr>
      </w:pPr>
    </w:p>
    <w:p>
      <w:pPr>
        <w:ind w:left="340" w:right="160" w:hanging="315"/>
        <w:spacing w:after="0" w:line="269" w:lineRule="auto"/>
        <w:tabs>
          <w:tab w:leader="none" w:pos="332"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nine months ended September 30, 2024, the balance of shares granted includes 135,511 additional shares, at a weighted average grant date fair value per share of $19.71, as PSUs granted in 2021 with Adjusted EBITDA targets vested at 175% on account of full achievement of the targets.</w:t>
      </w:r>
    </w:p>
    <w:p>
      <w:pPr>
        <w:ind w:left="340" w:right="260" w:hanging="315"/>
        <w:spacing w:after="0" w:line="279" w:lineRule="auto"/>
        <w:tabs>
          <w:tab w:leader="none" w:pos="332"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Forfeited PSUs include the TSR target awards issued in 2021 which did not vest as the market condition was not satisfied. Since the grant date, the Company recorded an expense of $1.5 million associated with these 68,850 shares which, despite the awards not vesting, will not be reversed into income.</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September 30, 2024, the maximum number of common shares that may be issued with respect to PSUs outstanding is 1,876,792, assuming full achievement of the Adjusted EBITDA and TSR targets.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On June 12, 2017, the Company announced that its Board of Directors approved a $200.0 million share repurchase program for its common shares that would have expired on June 30, 2020, which was subsequently extended for a 12-month period in 2020, 2021, and 2023 and increased the total share repurchase authority to $400.0 million. In 2023, the Company’s Board of Directors approved a 36-month extension to its share repurchase program through June 30, 2026. As of September 30, 2024, the Company has $150.7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215"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did not have any repurchases of common shares. During the nine months ended September 30, 2024, the Company repurchased 1,166,370 common shares at an average price of $13.99 per share, for a total of $16.3 million, excluding commissions. During the three and nine months ended September 30, 2023, the Company repurchased 13,981 and 144,482 common shares, respectively, at an average price of $18.00 and $15.47 per share, for a total of $0.3 million and $2.2 million, respectively, excluding commissions. The repurchases for the nine months ended September 30, 2024 excludes repurchases of 108,393 shares, at an average price of $14.98 for a total of $1.6 million with trade dates in December 2023 (2023 — 140,000 shares at an average price of $14.45, for a total of $2.0 million, with trade dates in December 2022). During the nine months ended September 30, 2024 and 2023, there were no shares purchases in the administration of employee share-based plans.</w:t>
      </w:r>
    </w:p>
    <w:p>
      <w:pPr>
        <w:spacing w:after="0" w:line="21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September 30, 2024 and December 31, 2023, the IMAX LTIP trustee did not hold any shares. Any shares held with the trustee are recorded at cost and are reported as a reduction against Capital Stock on the Company’s Condensed Consolidated Balance Sheets.</w:t>
      </w:r>
    </w:p>
    <w:p>
      <w:pPr>
        <w:spacing w:after="0" w:line="18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In 2023, IMAX China’s shareholders granted its Board of Directors a general mandate authorizing the Board, subject to applicable laws, to repurchase shares of IMAX China not to exceed 10% of the total number of issued shares as of June 7, 2023 (33,959,314 shares). This program expired on the date of the 2024 Annual General Meeting of IMAX China on June 7, 2024. During the 2024 Annual General Meeting, shareholders approved the repurchase of shares of IMAX China not to exceed 10% of the total number of shares as of June 7, 2024 (34,000,845 shares). This program will be valid until the 2025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w:t>
      </w:r>
    </w:p>
    <w:p>
      <w:pPr>
        <w:spacing w:after="0" w:line="214"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During the three months ended September 30, 2024, IMAX China did not have any repurchases of common shares. During the nine months ended September 30, 2024, IMAX China repurchased 119,900 common shares, at an average price of HKD 7.43 per share ($0.95 per share) for a total of HKD 0.9 million ($0.1 million). IMAX China did not have any repurchases during the three and nine months ended September 30, 2023. The change in the non-controlling interest attributable to IMAX China as a result of common shares repurchased is recorded as a reduction to Non-Controlling Interests in the Condensed Consolidated Balance Sheets and the Condensed Consolidated Statements of Shareholders’ Equity. The difference between the consideration paid and the ownership interest obtained as a result of IMAX China share repurchases is recorded within Other Equity in the Condensed Consolidated Balance Sheets and the Condensed Consolidated Statements of Shareholders’ Equity.</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Weighted Average Shares Outstanding</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reconciles the denominator of the basic and diluted weighted average share computations: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29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1940" w:type="dxa"/>
            <w:vAlign w:val="bottom"/>
            <w:gridSpan w:val="3"/>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3"/>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40" w:type="dxa"/>
            <w:vAlign w:val="bottom"/>
            <w:vMerge w:val="continue"/>
          </w:tcPr>
          <w:p>
            <w:pPr>
              <w:spacing w:after="0"/>
              <w:rPr>
                <w:sz w:val="15"/>
                <w:szCs w:val="15"/>
                <w:color w:val="auto"/>
              </w:rPr>
            </w:pPr>
          </w:p>
        </w:tc>
        <w:tc>
          <w:tcPr>
            <w:tcW w:w="13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3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544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beginning of period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0" w:type="dxa"/>
            <w:vAlign w:val="bottom"/>
          </w:tcPr>
          <w:p>
            <w:pPr>
              <w:spacing w:after="0"/>
              <w:rPr>
                <w:sz w:val="1"/>
                <w:szCs w:val="1"/>
                <w:color w:val="auto"/>
              </w:rPr>
            </w:pPr>
          </w:p>
        </w:tc>
      </w:tr>
      <w:tr>
        <w:trPr>
          <w:trHeight w:val="24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issued (repurchased), net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6"/>
        </w:trPr>
        <w:tc>
          <w:tcPr>
            <w:tcW w:w="5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54,424</w:t>
            </w:r>
          </w:p>
        </w:tc>
        <w:tc>
          <w:tcPr>
            <w:tcW w:w="0" w:type="dxa"/>
            <w:vAlign w:val="bottom"/>
          </w:tcPr>
          <w:p>
            <w:pPr>
              <w:spacing w:after="0"/>
              <w:rPr>
                <w:sz w:val="1"/>
                <w:szCs w:val="1"/>
                <w:color w:val="auto"/>
              </w:rPr>
            </w:pPr>
          </w:p>
        </w:tc>
      </w:tr>
      <w:tr>
        <w:trPr>
          <w:trHeight w:val="268"/>
        </w:trPr>
        <w:tc>
          <w:tcPr>
            <w:tcW w:w="5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effect of potential common shares, if dilutive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6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54,089</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55,535</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53,628</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firstLine="193"/>
        <w:spacing w:after="0" w:line="270" w:lineRule="auto"/>
        <w:rPr>
          <w:sz w:val="20"/>
          <w:szCs w:val="20"/>
          <w:color w:val="auto"/>
        </w:rPr>
      </w:pPr>
      <w:r>
        <w:rPr>
          <w:rFonts w:ascii="Times New Roman" w:cs="Times New Roman" w:eastAsia="Times New Roman" w:hAnsi="Times New Roman"/>
          <w:sz w:val="17"/>
          <w:szCs w:val="17"/>
          <w:color w:val="auto"/>
        </w:rPr>
        <w:t>For the three and nine months ended September 30, 2024, the calculation of diluted weighted average shares outstanding excludes 2,192,874 and 2,769,499 shares, respectively (2023 — 3,395,488 and 3,398,228 shares, respectively) that are issuable upon the vesting or exercise of share-based compensation including: (i) nil and 10,798 RSUs, respectively (2023 — 29,702 and 32,442 RSUs, respectively), (ii) nil and 42,848 PSUs, respectively (2023</w:t>
      </w:r>
    </w:p>
    <w:p>
      <w:pPr>
        <w:spacing w:after="0" w:line="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36,364 PSUs, respectively) and (iii) 2,192,874 and 2,715,853 stock options, respectively (2023 — 3,329,422 stock options, respectively), as the effect would be anti-dilutive.</w:t>
      </w:r>
    </w:p>
    <w:p>
      <w:pPr>
        <w:spacing w:after="0" w:line="208"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calculation of diluted weighted average shares outstanding for the three and nine months ended September 30, 2024 and 2023 also excludes any shares potentially issuable upon the conversion of the Convertible Notes as the average market price of the Company’s common shares during the period of time they were outstanding was less than the conversion price of the Convertible Notes.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Statutory Surplus Reserve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Pursuant to the corporate law of the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Company’s PRC subsidiaries are required to appropriate 10% of statutory net profits to statutory surplus reserves, upon distribution of their after-tax profits. The Company’s PRC subsidiaries may discontinue the contribution when the when the aggregate sum of the statutory surplus reserve is more than 50% of their registered capital. The statutory surplus reserve is non-distributable other than during liquidation and may only be used to fund losses from prior years, to expand production operations, or to increase the capital of the subsidiaries. In addition, the subsidiaries may make further contribution to the discretional surplus reserve using post-tax profits in accordance with resolutions of the Board of Directors.</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statutory surplus reserve of RMB 36.4 million ($5.6 million) has reached 50% of the Company’s PRC subsidiaries’ registered capital, as such no further contributions to the reserve are required.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 from Contracts with Customers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Disaggregated Information About Revenue</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summarize the Company’s Revenues by reportable segment and revenue stream type for the three and nine months ended September 30, 2024 and 2023:</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26,687</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26,687</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30,129</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57,971</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45,486</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88,100</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26,305</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46,891</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77,712</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77,712</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21,506</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99,004</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99,218</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50,926</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48,545</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45,835</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45,835</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50,926</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45,835</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152,019</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50,926</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144,839</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251,237</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54,629</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149,428</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259,536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1014"/>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42,481</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42,481</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44,214</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44,214</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14,353</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14,353</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14,353</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56,169</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58,567</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100,383</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18,273</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60,250</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101,772</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101,772</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107,605</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107,605</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60,296</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62,612</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42,395</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42,395</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60,296</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42,395</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171,813</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60,296</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279,418</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65,455</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154,244</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288,821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2024, revenues earned from Technology Sales include variable consideration of $8.2 million and $17.6 million, respectively (2023 — $4.0 million and $21.3 million, respectively). Variable consideration revenues represent an estimate of the contingent fees that may become due if certain annual minimum box office receipt thresholds are exceeded and are recorded as revenue in the period when the sale is recognized and may be adjusted in future periods based on actual results and changes in estimates over the term of the system agreement.</w:t>
      </w:r>
    </w:p>
    <w:p>
      <w:pPr>
        <w:spacing w:after="0" w:line="209" w:lineRule="exact"/>
        <w:rPr>
          <w:sz w:val="20"/>
          <w:szCs w:val="20"/>
          <w:color w:val="auto"/>
        </w:rPr>
      </w:pPr>
    </w:p>
    <w:p>
      <w:pPr>
        <w:jc w:val="both"/>
        <w:ind w:firstLine="193"/>
        <w:spacing w:after="0" w:line="259" w:lineRule="auto"/>
        <w:rPr>
          <w:sz w:val="20"/>
          <w:szCs w:val="20"/>
          <w:color w:val="auto"/>
        </w:rPr>
      </w:pPr>
      <w:r>
        <w:rPr>
          <w:rFonts w:ascii="Times New Roman" w:cs="Times New Roman" w:eastAsia="Times New Roman" w:hAnsi="Times New Roman"/>
          <w:sz w:val="18"/>
          <w:szCs w:val="18"/>
          <w:color w:val="auto"/>
        </w:rPr>
        <w:t>For the three and nine months ended September 30, 2024, revenues earned from leasing arrangements total $15.9 million and $48.4 million, respectively (2023 — $22.8 million and $65.6 million, respectively), including $16.0 million and $48.5 million, respectively, in Revenues ― Technology Rentals (2023</w:t>
      </w:r>
    </w:p>
    <w:p>
      <w:pPr>
        <w:spacing w:after="0" w:line="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$23.0 million and $62.6 million, respectively), and a reversal of $0.1 million in the three and nine months ended September 30, 2024, respectively, in Revenues ― Technology Sales (2023 — revenues of $0.2 million and $3.4 million, respectively).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IMAX System sale and lease arrangements include a requirement for the Company to provide maintenance services over the life of the arrangement, some of which are subject to a consumer price index adjustment each year. In circumstances where customers prepay the entire term’s maintenance fee based on the original arrangement, additional payments are due to the Company for the years after its extended warranty and maintenance obligations expire. Payments, upon renewal each year, are either prepaid or made in arrears and can vary in frequency from monthly to annually. As of September 30, 2024, $17.9 million of consideration has been deferred in relation to outstanding maintenance services to be provided on existing maintenance contracts (December 31, 2023 — $22.8 million). Maintenance revenue is recognized evenly over the contract term which coincides with the period over which maintenance services are provided. In the event of customer default, any payments made by the customer may be retained by the Company.</w:t>
      </w:r>
    </w:p>
    <w:p>
      <w:pPr>
        <w:spacing w:after="0" w:line="215"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Systems where control of the system has not yet transferred to the customer. The deferred revenue balance related to an individual IMAX System increases as progress payments are made and is then derecognized when control of the system is transferred to the customer. Recognition dates are variable and depend on numerous factors, including some outside of the Company’s control.</w:t>
      </w:r>
    </w:p>
    <w:p>
      <w:pPr>
        <w:spacing w:after="0" w:line="210"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During the three and nine months ended September 30, 2024, $11.5 million and $35.7 million of revenue, respectively, was recognized from the $67.1 million balance of deferred revenue as of December 31, 2023. During the three and nine months ended September 30, 2023, $18.3 million and $59.3 million of revenue, respectively, was recognized from the $70.9 million balance of deferred revenue as of December 31,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(“CEO”) is its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has the following reportable segments:</w:t>
      </w:r>
    </w:p>
    <w:p>
      <w:pPr>
        <w:spacing w:after="0" w:line="249" w:lineRule="exact"/>
        <w:rPr>
          <w:sz w:val="20"/>
          <w:szCs w:val="20"/>
          <w:color w:val="auto"/>
        </w:rPr>
      </w:pPr>
    </w:p>
    <w:p>
      <w:pPr>
        <w:jc w:val="both"/>
        <w:ind w:left="780" w:hanging="387"/>
        <w:spacing w:after="0" w:line="258" w:lineRule="auto"/>
        <w:tabs>
          <w:tab w:leader="none" w:pos="77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Solutions, which principally includes the digital remastering of films and other content into IMAX formats for distribution to the IMAX network. To a lesser extent, the Content Solutions segment also earns revenue from the distribution of large-format documentary films and exclusive experiences ranging from live performances to interactive events with leading artists and creators, as well as film post-production services.</w:t>
      </w:r>
    </w:p>
    <w:p>
      <w:pPr>
        <w:spacing w:after="0" w:line="209" w:lineRule="exact"/>
        <w:rPr>
          <w:rFonts w:ascii="Times New Roman" w:cs="Times New Roman" w:eastAsia="Times New Roman" w:hAnsi="Times New Roman"/>
          <w:sz w:val="18"/>
          <w:szCs w:val="18"/>
          <w:color w:val="auto"/>
        </w:rPr>
      </w:pPr>
    </w:p>
    <w:p>
      <w:pPr>
        <w:jc w:val="both"/>
        <w:ind w:left="780" w:hanging="387"/>
        <w:spacing w:after="0" w:line="263" w:lineRule="auto"/>
        <w:tabs>
          <w:tab w:leader="none" w:pos="7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Products and Services, which includes results from the sale or lease of IMAX Systems, as well as from the maintenance of IMAX Systems. To a lesser extent, the Technology Product and Services segment also earns revenue from certain ancillary theater business activities, including after-market sales of IMAX System parts and 3D glasses.</w:t>
      </w:r>
    </w:p>
    <w:p>
      <w:pPr>
        <w:spacing w:after="0" w:line="204"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Transactions between segments are valued at exchange value. Inter-segment profits are eliminated upon consolidation, as well as for the disclosures below.</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by reportable segment for the three months ended September 30, 2024 and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8"/>
                <w:szCs w:val="18"/>
                <w:b w:val="1"/>
                <w:bCs w:val="1"/>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60" w:type="dxa"/>
            <w:vAlign w:val="bottom"/>
            <w:tcBorders>
              <w:bottom w:val="single" w:sz="8" w:color="auto"/>
            </w:tcBorders>
          </w:tcPr>
          <w:p>
            <w:pPr>
              <w:spacing w:after="0"/>
              <w:rPr>
                <w:sz w:val="19"/>
                <w:szCs w:val="19"/>
                <w:color w:val="auto"/>
              </w:rPr>
            </w:pPr>
          </w:p>
        </w:tc>
      </w:tr>
      <w:tr>
        <w:trPr>
          <w:trHeight w:val="18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30,129</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44,214</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26,407</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57,971</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56,169</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31,964</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33,761</w:t>
            </w: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88,100</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100,383</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60,168</w:t>
            </w:r>
          </w:p>
        </w:tc>
      </w:tr>
      <w:tr>
        <w:trPr>
          <w:trHeight w:val="262"/>
        </w:trPr>
        <w:tc>
          <w:tcPr>
            <w:tcW w:w="4600" w:type="dxa"/>
            <w:vAlign w:val="bottom"/>
            <w:tcBorders>
              <w:bottom w:val="single" w:sz="8" w:color="CCEEFF"/>
            </w:tcBorders>
          </w:tcPr>
          <w:p>
            <w:pPr>
              <w:ind w:left="20"/>
              <w:spacing w:after="0" w:line="262"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(2)</w:t>
            </w: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4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4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4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103,896</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51,019</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right="20" w:hanging="315"/>
        <w:spacing w:after="0" w:line="259" w:lineRule="auto"/>
        <w:tabs>
          <w:tab w:leader="none" w:pos="332"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Company’s largest customer represents 13% of total Revenues for the three months ended September 30, 2024 (2023 — 11%). No single customer comprises more than 10% of the Company’s total Accounts Receivable as of September 30, 2024 and December 31, 2023.</w:t>
      </w:r>
    </w:p>
    <w:p>
      <w:pPr>
        <w:ind w:left="340" w:hanging="315"/>
        <w:spacing w:after="0"/>
        <w:tabs>
          <w:tab w:leader="none" w:pos="3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the Company's streaming and consumer technology business, as well as other ancillary activities.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by reportable segment for the nine months ended September 30, 2024 and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8"/>
                <w:szCs w:val="18"/>
                <w:b w:val="1"/>
                <w:bCs w:val="1"/>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60" w:type="dxa"/>
            <w:vAlign w:val="bottom"/>
            <w:tcBorders>
              <w:bottom w:val="single" w:sz="8" w:color="auto"/>
            </w:tcBorders>
          </w:tcPr>
          <w:p>
            <w:pPr>
              <w:spacing w:after="0"/>
              <w:rPr>
                <w:sz w:val="19"/>
                <w:szCs w:val="19"/>
                <w:color w:val="auto"/>
              </w:rPr>
            </w:pPr>
          </w:p>
        </w:tc>
      </w:tr>
      <w:tr>
        <w:trPr>
          <w:trHeight w:val="18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99,218</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54,686</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64,397</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152,019</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171,813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81,331</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100,066</w:t>
            </w: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251,237</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279,418</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136,017</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164,463</w:t>
            </w:r>
          </w:p>
        </w:tc>
      </w:tr>
      <w:tr>
        <w:trPr>
          <w:trHeight w:val="262"/>
        </w:trPr>
        <w:tc>
          <w:tcPr>
            <w:tcW w:w="4600" w:type="dxa"/>
            <w:vAlign w:val="bottom"/>
            <w:tcBorders>
              <w:bottom w:val="single" w:sz="8" w:color="CCEEFF"/>
            </w:tcBorders>
          </w:tcPr>
          <w:p>
            <w:pPr>
              <w:ind w:left="20"/>
              <w:spacing w:after="0" w:line="262"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(2)</w:t>
            </w: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4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4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w:t>
            </w: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259,536</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288,821</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141,835</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170,653</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right="20" w:hanging="315"/>
        <w:spacing w:after="0" w:line="259" w:lineRule="auto"/>
        <w:tabs>
          <w:tab w:leader="none" w:pos="332"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Company’s largest customer represents 11% of total Revenues for the nine months ended September 30, 2024 (2023 — 8%). No single customer comprises more than 10% of the Company’s total Accounts Receivable as of September 30, 2024 and December 31, 2023.</w:t>
      </w:r>
    </w:p>
    <w:p>
      <w:pPr>
        <w:ind w:left="340" w:hanging="315"/>
        <w:spacing w:after="0"/>
        <w:tabs>
          <w:tab w:leader="none" w:pos="3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the Company's streaming and consumer technology business, as well as other ancillary activities.</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Revenue by geographic area is based on the location of the customer. Revenue related to IMAX Film Remastering process is presented based upon the geographic location of the IMAX System that exhibits the remastered films. IMAX Film Remastering and distribution revenue is generated through contractual relationships with studios and other third parties that may not be in the same geographical location as the IMAX Systems that exhibit the remastered films.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revenues by geographic area for the three and nine months ended September 30, 2024 and 2023:</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38,363</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103,263</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92,768</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65,527</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73,975</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35,643</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44,649</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28,440</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43,827</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15,685</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11,412</w:t>
            </w:r>
          </w:p>
        </w:tc>
        <w:tc>
          <w:tcPr>
            <w:tcW w:w="0" w:type="dxa"/>
            <w:vAlign w:val="bottom"/>
          </w:tcPr>
          <w:p>
            <w:pPr>
              <w:spacing w:after="0"/>
              <w:rPr>
                <w:sz w:val="1"/>
                <w:szCs w:val="1"/>
                <w:color w:val="auto"/>
              </w:rPr>
            </w:pP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14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103,896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259,536</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288,821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right="20" w:firstLine="193"/>
        <w:spacing w:after="0" w:line="263" w:lineRule="auto"/>
        <w:rPr>
          <w:sz w:val="20"/>
          <w:szCs w:val="20"/>
          <w:color w:val="auto"/>
        </w:rPr>
      </w:pPr>
      <w:r>
        <w:rPr>
          <w:rFonts w:ascii="Times New Roman" w:cs="Times New Roman" w:eastAsia="Times New Roman" w:hAnsi="Times New Roman"/>
          <w:sz w:val="18"/>
          <w:szCs w:val="18"/>
          <w:color w:val="auto"/>
        </w:rPr>
        <w:t>The United States, Greater China (which includes the mainland of the People’s Republic of China, Hong Kong, Macau, and Taiwan), Western Europe and Asia (excluding Greater China) each comprise greater than 10% of the Company’s total revenues for the three and nine months ended September 30, 2024 and 2023.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Employee’s Pension and Postretirement Benefits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Company has an unfunded defined benefit pension plan, the Supplemental Executive Retirement Plan (the “SERP”), covering its CEO, Richard L. Gelfond. Under the terms of the SERP, if Mr. Gelfond’s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September 19, 2022, the term of Mr. Gelfond’s employment was extended through December 31, 2025, although Mr. Gelfond has not informed the Company that he intends to retire at that time. Under the terms of his employment agreement, as amended, the total benefit payable to Mr. Gelfond under the SERP is fixed at $20.3 million.</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Company’s projected benefit obligation under the SERP is $18.8 million (December 31, 2023 — $18.2 million). For the three and nine months ended September 30, 2024, the Company recorded interest costs of $0.2 million and $0.6 million, respectively, (2023 — $0.2 million and $0.6 million, respectively) related to the SERP. The Company expects to recognize additional interest costs of $0.2 million related to the SERP during the remainder of 2024. No contributions are expected to be made to the SERP in 2024.</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Pension Plan</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the three and nine months ended September 30, 2024, the Company contributed and recorded expense of $0.2 million and $1.1 million, respectively, (2023 — $0.3 million and $0.9 million, respectively) to its Canadian defined contribution plan and $0.2 million and $0.7 million, respectively, (2023 — $0.2 million and $0.7 million, respectively) to its defined contribution employee plan under Section 401(k) of the U.S. Internal Revenue Code.</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Benefits – Executives</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has an unfunded postretirement plan for Mr. Gelfond and Bradley J. Wechsler, former Chairman of the Company’s Board of Directors (the “Executive Postretirement Benefit Plan”). The Executive Postretirement Benefit Plan provides that the Company will maintain health benefits for Messrs. Gelfond and Wechsler until they become eligible for Medicare and, thereafter, the Company will provide Medicare supplemental coverage as selected by Messrs. Gelfond and Wechsler. Mr. Wechsler retired from the Company’s Board of Directors on June 9, 2021, and the Company is providing him with Medicare supplemental coverage or its cash equivalent.</w:t>
      </w:r>
    </w:p>
    <w:p>
      <w:pPr>
        <w:spacing w:after="0" w:line="210"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2024, the Company’s postretirement benefits obligation under this plan is $0.5 million (December 31, 2023 — $0.5 million). For the three and nine months ended September 30, 2024, the Company has recorded an expense of less than $0.1 million, respectively (2023 — less than $0.1 million, respectively) related to this plan.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Benefits – Canadian Employees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has an unfunded postretirement plan for its Canadian employees meeting specific eligibility requirements. The Company will provide eligible participants, upon retirement, with health and welfare benefits. As of September 30, 2024, the Company’s postretirement benefits obligation under this plan is $0.8 million (December 31, 2023 — $1.0 million). For the three and nine months ended September 30, 2024, the Company has recorded expense of less than $0.1 million, respectively, (2023 — less than $0.1 million and $0.1 million, respectively) related to this plan.</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Benefit Plan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2018, the executive incurred a separation from service from the Company, and as such, the Retirement Plan benefits became fully vested as of December 31, 2018.</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September 30, 2024, the benefit obligation related to the Retirement Plan was $4.2 million (December 31, 2023 — $4.1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Retirement Plan is funded by an investment in company-owned life insurance (“COLI”), which is recorded at its fair value on the Company’s Condensed Consolidated Balance Sheets within Prepaid Expenses. As of September 30, 2024, fair value of the COLI asset was $3.6 million (December 31, 2023 — $3.5 million). Gains and losses resulting from changes in the cash surrender value of the COLI asset are recognized in the Condensed Consolidated Statements of Operations within Realized and Unrealized Investment Gains.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Instruments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Company’s cash is invested with various major financial institutions. The Company’s $104.5 million balance of cash and cash equivalents as of September 30, 2024 (December 31, 2023 — $76.2 million) includes $90.8 million in cash held outside of Canada (December 31, 2023 — $68.5 million), of which $49.9 million was held in the PRC (December 31, 2023 — $30.0 million).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Accounts Receivable, Accounts Payable and Accrued Liabilities due within one year approximate their fair values due to the short-term maturity of these instruments. Including these instruments, the Company’s financial instruments consist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80" w:type="dxa"/>
            <w:vAlign w:val="bottom"/>
          </w:tcPr>
          <w:p>
            <w:pPr>
              <w:spacing w:after="0"/>
              <w:rPr>
                <w:sz w:val="16"/>
                <w:szCs w:val="16"/>
                <w:color w:val="auto"/>
              </w:rPr>
            </w:pPr>
          </w:p>
        </w:tc>
        <w:tc>
          <w:tcPr>
            <w:tcW w:w="308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38"/>
        </w:trPr>
        <w:tc>
          <w:tcPr>
            <w:tcW w:w="4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5"/>
                <w:szCs w:val="15"/>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5"/>
                <w:szCs w:val="15"/>
                <w:color w:val="auto"/>
              </w:rPr>
            </w:pP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38"/>
        </w:trPr>
        <w:tc>
          <w:tcPr>
            <w:tcW w:w="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5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Level 1</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40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104,504</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104,504</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76,200</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76,200</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45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40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financed sales receivables</w:t>
            </w:r>
            <w:r>
              <w:rPr>
                <w:rFonts w:ascii="Times New Roman" w:cs="Times New Roman" w:eastAsia="Times New Roman" w:hAnsi="Times New Roman"/>
                <w:sz w:val="23"/>
                <w:szCs w:val="23"/>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95,397</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95,160</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97,615</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96,500</w:t>
            </w:r>
          </w:p>
        </w:tc>
        <w:tc>
          <w:tcPr>
            <w:tcW w:w="0" w:type="dxa"/>
            <w:vAlign w:val="bottom"/>
          </w:tcPr>
          <w:p>
            <w:pPr>
              <w:spacing w:after="0"/>
              <w:rPr>
                <w:sz w:val="1"/>
                <w:szCs w:val="1"/>
                <w:color w:val="auto"/>
              </w:rPr>
            </w:pPr>
          </w:p>
        </w:tc>
      </w:tr>
      <w:tr>
        <w:trPr>
          <w:trHeight w:val="268"/>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sales-type leases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0" w:type="dxa"/>
            <w:vAlign w:val="bottom"/>
          </w:tcPr>
          <w:p>
            <w:pPr>
              <w:spacing w:after="0"/>
              <w:rPr>
                <w:sz w:val="1"/>
                <w:szCs w:val="1"/>
                <w:color w:val="auto"/>
              </w:rPr>
            </w:pPr>
          </w:p>
        </w:tc>
      </w:tr>
      <w:tr>
        <w:trPr>
          <w:trHeight w:val="268"/>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68"/>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COLI</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0" w:type="dxa"/>
            <w:vAlign w:val="bottom"/>
          </w:tcPr>
          <w:p>
            <w:pPr>
              <w:spacing w:after="0"/>
              <w:rPr>
                <w:sz w:val="1"/>
                <w:szCs w:val="1"/>
                <w:color w:val="auto"/>
              </w:rPr>
            </w:pPr>
          </w:p>
        </w:tc>
      </w:tr>
      <w:tr>
        <w:trPr>
          <w:trHeight w:val="268"/>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exchange contracts — designated forwards</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68"/>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Credit Facility borrowings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68"/>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68"/>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(230,922)</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(205,850)</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40" w:hanging="315"/>
        <w:spacing w:after="0"/>
        <w:tabs>
          <w:tab w:leader="none" w:pos="34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Recorded at cost, which approximates fair value.</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estimated based on discounting future cash flows at currently available interest rates with comparable terms.</w:t>
      </w:r>
    </w:p>
    <w:p>
      <w:pPr>
        <w:spacing w:after="0" w:line="8"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determined using quoted prices in active markets.</w:t>
      </w:r>
    </w:p>
    <w:p>
      <w:pPr>
        <w:spacing w:after="0" w:line="13"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Measured at cash surrender value, which approximates fair value.</w:t>
      </w:r>
    </w:p>
    <w:p>
      <w:pPr>
        <w:spacing w:after="0" w:line="13"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determined using quoted market prices that are observable in the market or that could be derived from observable market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 Management</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is exposed to market risk from changes in foreign currency rates.</w:t>
      </w:r>
    </w:p>
    <w:p>
      <w:pPr>
        <w:spacing w:after="0" w:line="24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HKD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receipts in 89 different countries, unfavorable exchange rates between applicable local currencies and the U.S. Dollar could have an impact on box-office receipts and the Company’s revenues and results of operations. The Company’s policy is to not use any financial instruments for trading or other speculative purposes.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September 30, 2024 (the “Foreign Currency Hedges”), with settlement dates throughout 2024 and 2025.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and reclassified to the Condensed Consolidated Statements of Operations when the forecasted transaction occurs. Any ineffective portion is recognized immediately in the Condensed Consolidated Statements of Operations.</w:t>
      </w:r>
    </w:p>
    <w:p>
      <w:pPr>
        <w:spacing w:after="0" w:line="21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notional value of foreign currency cash flow hedging instruments that qualify for hedge accounting as of September 30, 2024 was $31.8 million (December 31, 2023 — $40.6 million).</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tabular disclosures reflect the impact that derivative instruments and hedging activities have on the Company’s Condensed Consolidated Financial Statements: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Notional value of derivatives in foreign exchange contracts: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8"/>
        </w:trPr>
        <w:tc>
          <w:tcPr>
            <w:tcW w:w="200" w:type="dxa"/>
            <w:vAlign w:val="bottom"/>
            <w:tcBorders>
              <w:bottom w:val="single" w:sz="8" w:color="CCEEFF"/>
            </w:tcBorders>
          </w:tcPr>
          <w:p>
            <w:pPr>
              <w:spacing w:after="0"/>
              <w:rPr>
                <w:sz w:val="3"/>
                <w:szCs w:val="3"/>
                <w:color w:val="auto"/>
              </w:rPr>
            </w:pPr>
          </w:p>
        </w:tc>
        <w:tc>
          <w:tcPr>
            <w:tcW w:w="38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7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1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31,835</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40,563</w:t>
            </w:r>
          </w:p>
        </w:tc>
      </w:tr>
      <w:tr>
        <w:trPr>
          <w:trHeight w:val="536"/>
        </w:trPr>
        <w:tc>
          <w:tcPr>
            <w:tcW w:w="20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Fair value of derivatives in foreign exchange contracts: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78"/>
        </w:trPr>
        <w:tc>
          <w:tcPr>
            <w:tcW w:w="200" w:type="dxa"/>
            <w:vAlign w:val="bottom"/>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40" w:type="dxa"/>
            <w:vAlign w:val="bottom"/>
          </w:tcPr>
          <w:p>
            <w:pPr>
              <w:spacing w:after="0"/>
              <w:rPr>
                <w:sz w:val="19"/>
                <w:szCs w:val="19"/>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8"/>
        </w:trPr>
        <w:tc>
          <w:tcPr>
            <w:tcW w:w="4000" w:type="dxa"/>
            <w:vAlign w:val="bottom"/>
            <w:tcBorders>
              <w:bottom w:val="single" w:sz="8" w:color="CCEEFF"/>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6"/>
        </w:trPr>
        <w:tc>
          <w:tcPr>
            <w:tcW w:w="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200" w:type="dxa"/>
            <w:vAlign w:val="bottom"/>
            <w:tcBorders>
              <w:bottom w:val="single" w:sz="8" w:color="CCEEFF"/>
            </w:tcBorders>
            <w:shd w:val="clear" w:color="auto" w:fill="CCEEFF"/>
          </w:tcPr>
          <w:p>
            <w:pPr>
              <w:spacing w:after="0"/>
              <w:rPr>
                <w:sz w:val="23"/>
                <w:szCs w:val="23"/>
                <w:color w:val="auto"/>
              </w:rPr>
            </w:pPr>
          </w:p>
        </w:tc>
        <w:tc>
          <w:tcPr>
            <w:tcW w:w="380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5"/>
        </w:trPr>
        <w:tc>
          <w:tcPr>
            <w:tcW w:w="2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6"/>
        </w:trPr>
        <w:tc>
          <w:tcPr>
            <w:tcW w:w="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Derivatives in foreign currency hedging relationships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3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28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2280" w:type="dxa"/>
            <w:vAlign w:val="bottom"/>
            <w:tcBorders>
              <w:bottom w:val="single" w:sz="8" w:color="CCEEFF"/>
            </w:tcBorders>
          </w:tcPr>
          <w:p>
            <w:pPr>
              <w:spacing w:after="0"/>
              <w:rPr>
                <w:sz w:val="3"/>
                <w:szCs w:val="3"/>
                <w:color w:val="auto"/>
              </w:rPr>
            </w:pPr>
          </w:p>
        </w:tc>
        <w:tc>
          <w:tcPr>
            <w:tcW w:w="23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23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Derivative Gain (Loss)</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w:t>
            </w:r>
          </w:p>
        </w:tc>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 in OCI</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w:t>
            </w:r>
          </w:p>
        </w:tc>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Portion)</w:t>
            </w:r>
          </w:p>
        </w:tc>
        <w:tc>
          <w:tcPr>
            <w:tcW w:w="940" w:type="dxa"/>
            <w:vAlign w:val="bottom"/>
            <w:tcBorders>
              <w:bottom w:val="single" w:sz="8" w:color="CCEEFF"/>
            </w:tcBorders>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551"/>
        </w:trPr>
        <w:tc>
          <w:tcPr>
            <w:tcW w:w="2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280" w:type="dxa"/>
            <w:vAlign w:val="bottom"/>
          </w:tcPr>
          <w:p>
            <w:pPr>
              <w:spacing w:after="0"/>
              <w:rPr>
                <w:sz w:val="3"/>
                <w:szCs w:val="3"/>
                <w:color w:val="auto"/>
              </w:rPr>
            </w:pPr>
          </w:p>
        </w:tc>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Derivative Loss</w:t>
            </w: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9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8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 Selling, general and</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w:t>
            </w:r>
          </w:p>
        </w:tc>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6"/>
        </w:trPr>
        <w:tc>
          <w:tcPr>
            <w:tcW w:w="22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Company’s estimated net amount of the existing gain as of September 30, 2024 is $0.1 million, which is expected to be reclassified to the Condensed Consolidated Statements of Operations within the next twelve months.</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held an investment in the preferred shares of enterprises which meets the criteria for classification as an equity security carried at historical cost, net of impairment charges. The carrying value of the equity security investment was $1.0 million as of September 30, 2024 (December 31, 2023 — $1.0 million) and is recorded within Other Assets in the Condensed Consolidated Balance Sheets.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Non-Controlling Interests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IMAX China Non-Controlling Interest</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indirectly owns 71.55% of IMAX China, whose shares trade on the Hong Kong Stock Exchange (December 31, 2023 — 71.55%). IMAX China remains a consolidated subsidiary of the Company. As of September 30, 2024, the balance of the Company’s non-controlling interest in IMAX China is $77.7 million (December 31, 2023 — $71.8 million). For the three and nine months ended September 30, 2024, the net income attributable to the non-controlling interest in IMAX China is $1.4 million and $5.1 million, respectively (2023 — $3.1 million and $7.0 million, respectively).</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Non-Controlling Interest</w:t>
      </w:r>
    </w:p>
    <w:p>
      <w:pPr>
        <w:spacing w:after="0" w:line="25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As of September 30, 2024,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 in Temporary Equity</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movement of the non-controlling interest in temporary equity related to the Original Film Fund for the nine months ended September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Presented below is Management’s Discussion and Analysis of Financial Condition and Results of Operations (“MD&amp;A”) for IMAX Corporation and its consolidated subsidiaries (“IMAX” or the “Company”) for the three and nine months ended September 30, 2024 and 2023. MD&amp;A should be read in conjunction with Note 13, “Segment Reporting,” in the accompanying Condensed Consolidated Financial Statements in Item 1.</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indirectly owns 71.55% of IMAX China Holding, Inc. (“IMAX China”), whose shares trade on the Hong Kong Stock Exchange. IMAX China is a consolidated subsidiary of the Company. For the three months ended September 30, 2024, net income attributable to IMAX China is $5.0 million, of which $3.6 million is attributable to the shareholders of the Company (2023 — $11.0 million and $7.9 million,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253" w:lineRule="exact"/>
        <w:rPr>
          <w:sz w:val="20"/>
          <w:szCs w:val="20"/>
          <w:color w:val="auto"/>
        </w:rPr>
      </w:pPr>
    </w:p>
    <w:p>
      <w:pPr>
        <w:jc w:val="both"/>
        <w:ind w:firstLine="193"/>
        <w:spacing w:after="0" w:line="249" w:lineRule="auto"/>
        <w:rPr>
          <w:sz w:val="20"/>
          <w:szCs w:val="20"/>
          <w:color w:val="auto"/>
        </w:rPr>
      </w:pPr>
      <w:r>
        <w:rPr>
          <w:rFonts w:ascii="Times New Roman" w:cs="Times New Roman" w:eastAsia="Times New Roman" w:hAnsi="Times New Roman"/>
          <w:sz w:val="18"/>
          <w:szCs w:val="18"/>
          <w:color w:val="auto"/>
        </w:rPr>
        <w:t>Certain statements included in this quarterly report may constitute “forward-looking statements” within the meaning of the United States Private Securities Litigation Reform Act of 1995 or “forward-looking information” within the meaning of Canadian securities laws.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industry prospects and consumer behavior,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investments and operations in foreign jurisdictions and any future international expansion, including those related to economic, political and regulatory policies of local governments and laws and policies of the United States and Canada, as well as geopolitical conflicts; risks related to the Company’s growth and operations in China; the performance of IMAX remastered films and other films released to the IMAX network; the signing of IMAX System agreements; conditions, changes and developments in the commercial exhibition industry; risks related to currency fluctuations; the potential impact of increased competition in the markets within which the Company operates, including competitive actions by other companies; the failure to respond to change and advancements in digital technology; risks relating to consolidation among commercial exhibitors and studios; risks related to brand extensions and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risks associated with the Company’s use of artificial intelligence (“AI”) and exploration of additional use cases of AI; risks related to climate change; risks related to weather conditions and natural disasters that may disrupt or harm the Company’s business; risks related to the Company’s indebtedness and compliance with its debt agreements; general economic, market or business conditions; risks related to political, economic and social instability; the failure to convert system backlog into revenue; changes in laws or regulations; any statements of belief and any statements of assumptions underlying any of the foregoing; other factors and risks outlined in the Company’s periodic filings with the United States Securities and Exchange Commission (the “SEC”) or in Canada, the System for Electronic Document Analysis and Retrieval (“SEDAR+”);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45" w:lineRule="exact"/>
        <w:rPr>
          <w:sz w:val="20"/>
          <w:szCs w:val="20"/>
          <w:color w:val="auto"/>
        </w:rPr>
      </w:pPr>
    </w:p>
    <w:p>
      <w:pPr>
        <w:ind w:left="20" w:right="140"/>
        <w:spacing w:after="0" w:line="217" w:lineRule="auto"/>
        <w:rPr>
          <w:sz w:val="20"/>
          <w:szCs w:val="20"/>
          <w:color w:val="auto"/>
        </w:rPr>
      </w:pPr>
      <w:r>
        <w:rPr>
          <w:rFonts w:ascii="Times New Roman" w:cs="Times New Roman" w:eastAsia="Times New Roman" w:hAnsi="Times New Roman"/>
          <w:sz w:val="18"/>
          <w:szCs w:val="18"/>
          <w:color w:val="auto"/>
        </w:rPr>
        <w:t>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3D, Experience It In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IMAX Experience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Live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IMAX Enhanced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StreamSmart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and SSIMWAVE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trademarks and trade names of the Company or its subsidiaries that are registered or otherwise protected under laws of various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SEDAR+’s website at www.sedarplus.ca and through the Company’s website at www.imax.com or by calling the Company’s Investor Relations Department at 212-821-0154. No information included on the Company’s website shall be deemed included or otherwise incorporated into this filing, except where expressly indicated.</w:t>
      </w:r>
    </w:p>
    <w:p>
      <w:pPr>
        <w:spacing w:after="0" w:line="210"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information posted on the Company’s Corporate and Investor Relations website may be deemed material to investors. Accordingly, investors, media and others interested in the Company should monitor the Company’s investor relations website in addition to the Company’s press releases, SEC and SEDAR+ filings and public conference calls and webcasts.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3" w:lineRule="exact"/>
        <w:rPr>
          <w:sz w:val="20"/>
          <w:szCs w:val="20"/>
          <w:color w:val="auto"/>
        </w:rPr>
      </w:pPr>
    </w:p>
    <w:p>
      <w:pPr>
        <w:jc w:val="both"/>
        <w:ind w:firstLine="193"/>
        <w:spacing w:after="0" w:line="242"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The Company’s global content portfolio includes blockbuster films, both from Hollywood and local language film industries worldwide; IMAX documentaries, both original and acquired; and IMAX events and experiences in emerging verticals, including music, gaming, and sports.</w:t>
      </w:r>
    </w:p>
    <w:p>
      <w:pPr>
        <w:spacing w:after="0" w:line="22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all aspects of its business, which principally consists of the digital remastering of films and other content into the IMAX format for distribution across the IMAX network (“IMAX Film Remastering”) and the sale or lease of premium IMAX theater systems (“IMAX System(s)”).</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IMAX Systems are based on proprietary and patented image, audio and other technology developed over the course of the Company’s history since its founding in 1967. The customers for IMAX Systems are principally exhibitors that operate commercial multiplex theaters, and, to a much lesser extent, museums, science centers and destination entertainment sites. The Company does not own the locations in the IMAX network, except for one, and is not an exhibitor, but instead sells or leases the IMAX System to exhibitor customers along with licenses to use its trademarks and ongoing maintenance services for which there are annual payments by the exhibitors to IMAX.</w:t>
      </w:r>
    </w:p>
    <w:p>
      <w:pPr>
        <w:spacing w:after="0" w:line="210"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IMAX has the largest global premium format network, more than double the size of its nearest competitor. As of September 30, 2024, there were 1,788 IMAX Systems in 89 countries and territories, including 1,714 commercial multiplexes, 12 commercial destinations, and 62 institutional locations in the Company’s global network. This compares to 1,731 IMAX Systems in 87 countries and territories as of September 30, 2023, including 1,651 commercial multiplexes, 12 commercial destinations, and 68 institutional locations in the Company’s global network. (Refer to the table under “IMAX Network and Backlog” for additional information on the composition of the IMAX network.)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IMAX Systems provide the Company’s exhibitor customers with a combination of the following benefits:</w:t>
      </w:r>
    </w:p>
    <w:p>
      <w:pPr>
        <w:spacing w:after="0" w:line="249" w:lineRule="exact"/>
        <w:rPr>
          <w:sz w:val="20"/>
          <w:szCs w:val="20"/>
          <w:color w:val="auto"/>
        </w:rPr>
      </w:pPr>
    </w:p>
    <w:p>
      <w:pPr>
        <w:ind w:left="780" w:hanging="387"/>
        <w:spacing w:after="0" w:line="279" w:lineRule="auto"/>
        <w:tabs>
          <w:tab w:leader="none" w:pos="7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been enhanced through the IMAX Film Remastering, which results in higher image and sound fidelity than conventional cinema experiences;</w:t>
      </w:r>
    </w:p>
    <w:p>
      <w:pPr>
        <w:spacing w:after="0" w:line="189" w:lineRule="exact"/>
        <w:rPr>
          <w:rFonts w:ascii="Times New Roman" w:cs="Times New Roman" w:eastAsia="Times New Roman" w:hAnsi="Times New Roman"/>
          <w:sz w:val="18"/>
          <w:szCs w:val="18"/>
          <w:color w:val="auto"/>
        </w:rPr>
      </w:pPr>
    </w:p>
    <w:p>
      <w:pPr>
        <w:ind w:left="780" w:hanging="387"/>
        <w:spacing w:after="0" w:line="279" w:lineRule="auto"/>
        <w:tabs>
          <w:tab w:leader="none" w:pos="7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pacing w:after="0" w:line="189" w:lineRule="exact"/>
        <w:rPr>
          <w:rFonts w:ascii="Times New Roman" w:cs="Times New Roman" w:eastAsia="Times New Roman" w:hAnsi="Times New Roman"/>
          <w:sz w:val="18"/>
          <w:szCs w:val="18"/>
          <w:color w:val="auto"/>
        </w:rPr>
      </w:pPr>
    </w:p>
    <w:p>
      <w:pPr>
        <w:ind w:left="780" w:hanging="387"/>
        <w:spacing w:after="0" w:line="279" w:lineRule="auto"/>
        <w:tabs>
          <w:tab w:leader="none" w:pos="7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auditorium geometry, which result in a substantially larger field of view so that the screen extends to the edge of a viewer’s peripheral vision and creates more realistic images;</w:t>
      </w:r>
    </w:p>
    <w:p>
      <w:pPr>
        <w:spacing w:after="0" w:line="189" w:lineRule="exact"/>
        <w:rPr>
          <w:rFonts w:ascii="Times New Roman" w:cs="Times New Roman" w:eastAsia="Times New Roman" w:hAnsi="Times New Roman"/>
          <w:sz w:val="18"/>
          <w:szCs w:val="18"/>
          <w:color w:val="auto"/>
        </w:rPr>
      </w:pPr>
    </w:p>
    <w:p>
      <w:pPr>
        <w:ind w:left="780" w:hanging="387"/>
        <w:spacing w:after="0" w:line="279" w:lineRule="auto"/>
        <w:tabs>
          <w:tab w:leader="none" w:pos="7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and pinpointed origination of sound to any specific spot in an auditorium equipped with an IMAX System;</w:t>
      </w:r>
    </w:p>
    <w:p>
      <w:pPr>
        <w:spacing w:after="0" w:line="189" w:lineRule="exact"/>
        <w:rPr>
          <w:rFonts w:ascii="Times New Roman" w:cs="Times New Roman" w:eastAsia="Times New Roman" w:hAnsi="Times New Roman"/>
          <w:sz w:val="18"/>
          <w:szCs w:val="18"/>
          <w:color w:val="auto"/>
        </w:rPr>
      </w:pPr>
    </w:p>
    <w:p>
      <w:pPr>
        <w:ind w:left="780" w:hanging="387"/>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w:t>
      </w:r>
    </w:p>
    <w:p>
      <w:pPr>
        <w:spacing w:after="0" w:line="248" w:lineRule="exact"/>
        <w:rPr>
          <w:rFonts w:ascii="Times New Roman" w:cs="Times New Roman" w:eastAsia="Times New Roman" w:hAnsi="Times New Roman"/>
          <w:sz w:val="18"/>
          <w:szCs w:val="18"/>
          <w:color w:val="auto"/>
        </w:rPr>
      </w:pPr>
    </w:p>
    <w:p>
      <w:pPr>
        <w:ind w:left="780" w:hanging="387"/>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maintenance and extended warranty services; and</w:t>
      </w:r>
    </w:p>
    <w:p>
      <w:pPr>
        <w:spacing w:after="0" w:line="248" w:lineRule="exact"/>
        <w:rPr>
          <w:rFonts w:ascii="Times New Roman" w:cs="Times New Roman" w:eastAsia="Times New Roman" w:hAnsi="Times New Roman"/>
          <w:sz w:val="18"/>
          <w:szCs w:val="18"/>
          <w:color w:val="auto"/>
        </w:rPr>
      </w:pPr>
    </w:p>
    <w:p>
      <w:pPr>
        <w:ind w:left="780" w:right="20" w:hanging="387"/>
        <w:spacing w:after="0" w:line="279" w:lineRule="auto"/>
        <w:tabs>
          <w:tab w:leader="none" w:pos="7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 as well as benefits from IMAX marketing of films being shown in its network and IMAX’s growing social media followership.</w:t>
      </w:r>
    </w:p>
    <w:p>
      <w:pPr>
        <w:sectPr>
          <w:pgSz w:w="11900" w:h="16838" w:orient="portrait"/>
          <w:cols w:equalWidth="0" w:num="1">
            <w:col w:w="11240"/>
          </w:cols>
          <w:pgMar w:left="320" w:top="363"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addition, select movies shown in the IMAX network are filmed using proprietary IMAX film cameras or IMAX certified digital cameras, which along with IMAX’s customized guidance and a workflow process provide filmmakers enhanced and differentiated image quality and an IMAX-exclusive film aspect ratio that delivers up to 26% more image onto a standard IMAX movie screen. In select IMAX locations worldwide, movies filmed with IMAX cameras have an IMAX-exclusive 1.43 film aspect ratio, delivering up to 67% more image.</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Together, these components cause audiences in IMAX locations to feel as if they are a part of the on-screen action, creating a more intense, immersive, and awe-inspiring exciting experience than a conventional cinematic format.</w:t>
      </w:r>
    </w:p>
    <w:p>
      <w:pPr>
        <w:spacing w:after="0" w:line="186" w:lineRule="exact"/>
        <w:rPr>
          <w:sz w:val="20"/>
          <w:szCs w:val="20"/>
          <w:color w:val="auto"/>
        </w:rPr>
      </w:pPr>
    </w:p>
    <w:p>
      <w:pPr>
        <w:jc w:val="both"/>
        <w:ind w:firstLine="193"/>
        <w:spacing w:after="0"/>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exhibitor customers typically charge a premium for films released in IMAX’s format versus films exhibited in their other auditoriums. The premium pricing, combined with the higher attendance levels associated with IMAX films, generates incremental box office for the Company’s exhibitor customers and for the movie studios releasing their films to the IMAX network. The incremental box office generated by IMAX films combined with IMAX’s unmatched global network footprint and scale has helped establish IMAX as a key premium distribution and marketing platform for Hollywood and foreign local language movie studios.</w:t>
      </w:r>
    </w:p>
    <w:p>
      <w:pPr>
        <w:spacing w:after="0" w:line="22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continues to evolve its platform to bring new, innovative events and experiences to audiences worldwide. The Company has a footprint of connected IMAX Systems capable of delivering live, interactive content with low latency and superior sight and sound.</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a premier global technology platform for entertainment and events, the Company strives to remain at the forefront of advancements in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are helping facilitate the next major renewal and upgrade cycle for the global IMAX network.</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utilizes AI for image enhancement, streaming technology, and data analysis to improve various aspects of its business. Furthermore, the Company is actively exploring other global use cases for AI to save costs, and to improve its products, operations, and efficiency.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has organized its operating segments into the following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disclosed within All Other. (See Note 13 of Notes to Condensed Consolidated Financial Statements in Part I, Item 1).</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Content Solutions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Content Solutions segment earns revenue principally from the digital remastering of films and other content into IMAX formats for distribution across the IMAX network. To a lesser extent, the Content Solutions segment also earns revenue from the distribution of large-format documentary films and IMAX events and experiences including music, gaming, and sports, as well as the provision of film post-production services.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Film Remastering and Distribution</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IMAX Film Remastering is a proprietary technology that digitally remasters films and other content into IMAX formats for distribution across the IMAX network. In a typical IMAX Film Remastering and distribution arrangement, the Company receives a percentage of the box office receipts from a movie studio in exchange for converting a commercial film into the IMAX format and distributing it through the IMAX network. The fee earned by the Company in a typical IMAX Film Remastering and distribution arrangement averages approximately 12.5% of box office receipts (i.e., global box office (“GBO”) less applicable sales taxes), except for within Greater China, where the Company receives a lower percentage of net box office receipts for certain Hollywood films due to an import tax.</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 xml:space="preserve">IMAX Film Remastering digitally enhances the image resolution of films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In addition, the original soundtrack of a film to be exhibited across the IMAX network is remastered for IMAX digital sound systems. IMAX remastered soundtracks are uncompressed for full fidelity. IMAX sound systems use proprietary loudspeaker systems and proprietary surround sound configurations that ensure every seat in an auditorium is an optimal listening position.</w:t>
      </w:r>
    </w:p>
    <w:p>
      <w:pPr>
        <w:spacing w:after="0" w:line="209" w:lineRule="exact"/>
        <w:rPr>
          <w:sz w:val="20"/>
          <w:szCs w:val="20"/>
          <w:color w:val="auto"/>
        </w:rPr>
      </w:pPr>
    </w:p>
    <w:p>
      <w:pPr>
        <w:jc w:val="both"/>
        <w:ind w:firstLine="193"/>
        <w:spacing w:after="0" w:line="243" w:lineRule="auto"/>
        <w:rPr>
          <w:sz w:val="20"/>
          <w:szCs w:val="20"/>
          <w:color w:val="auto"/>
        </w:rPr>
      </w:pPr>
      <w:r>
        <w:rPr>
          <w:rFonts w:ascii="Times New Roman" w:cs="Times New Roman" w:eastAsia="Times New Roman" w:hAnsi="Times New Roman"/>
          <w:sz w:val="18"/>
          <w:szCs w:val="18"/>
          <w:color w:val="auto"/>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In select IMAX locations worldwide, movies filmed with IMAX cameras have an IMAX-exclusive 1.43 film aspect ratio, delivering up to 67% more image. The Company has a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for select films under which filmmakers craft films from their inception in numerous ways to optimize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The program includes incremental and bespoke marketing support, which box office metrics demonstrate audiences respond extremely favorably to, and drives a higher market share for IMAX.</w:t>
      </w:r>
    </w:p>
    <w:p>
      <w:pPr>
        <w:spacing w:after="0" w:line="222"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 believes that growth in international box office remains an important driver of growth for the Company. To support continued growth in international markets, the Company is focused on the expansion of the IMAX network and has sought to elevate its international film strategy, supplementing its slate of Hollywood films with appealing local language films released in select markets, including China, Japan, India, France and South Korea. More recently, the Company has further expanded its strategy by distributing local language films in both native and foreign markets.</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provides detailed information about the films that were released to the Company’s global network during the three and nine months ended September 30, 2024 and 2023, respectively: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2300" w:type="dxa"/>
            <w:vAlign w:val="bottom"/>
            <w:gridSpan w:val="3"/>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3"/>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r>
      <w:tr>
        <w:trPr>
          <w:trHeight w:val="228"/>
        </w:trPr>
        <w:tc>
          <w:tcPr>
            <w:tcW w:w="4620" w:type="dxa"/>
            <w:vAlign w:val="bottom"/>
          </w:tcPr>
          <w:p>
            <w:pPr>
              <w:spacing w:after="0"/>
              <w:rPr>
                <w:sz w:val="19"/>
                <w:szCs w:val="19"/>
                <w:color w:val="auto"/>
              </w:rPr>
            </w:pPr>
          </w:p>
        </w:tc>
        <w:tc>
          <w:tcPr>
            <w:tcW w:w="2300" w:type="dxa"/>
            <w:vAlign w:val="bottom"/>
            <w:gridSpan w:val="3"/>
          </w:tcPr>
          <w:p>
            <w:pPr>
              <w:jc w:val="center"/>
              <w:ind w:left="8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3"/>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9"/>
                <w:szCs w:val="19"/>
                <w:color w:val="auto"/>
              </w:rPr>
            </w:pPr>
          </w:p>
        </w:tc>
      </w:tr>
      <w:tr>
        <w:trPr>
          <w:trHeight w:val="38"/>
        </w:trPr>
        <w:tc>
          <w:tcPr>
            <w:tcW w:w="462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3"/>
        </w:trPr>
        <w:tc>
          <w:tcPr>
            <w:tcW w:w="4620" w:type="dxa"/>
            <w:vAlign w:val="bottom"/>
          </w:tcPr>
          <w:p>
            <w:pPr>
              <w:spacing w:after="0"/>
              <w:rPr>
                <w:sz w:val="15"/>
                <w:szCs w:val="15"/>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46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62"/>
        </w:trPr>
        <w:tc>
          <w:tcPr>
            <w:tcW w:w="462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Hollywood film releases</w:t>
            </w:r>
            <w:r>
              <w:rPr>
                <w:rFonts w:ascii="Times New Roman" w:cs="Times New Roman" w:eastAsia="Times New Roman" w:hAnsi="Times New Roman"/>
                <w:sz w:val="23"/>
                <w:szCs w:val="23"/>
                <w:color w:val="auto"/>
                <w:vertAlign w:val="superscript"/>
              </w:rPr>
              <w:t>(1)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language film releases: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South Korea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Malaysia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Thailand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Indonesia</w:t>
            </w:r>
          </w:p>
        </w:tc>
        <w:tc>
          <w:tcPr>
            <w:tcW w:w="230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23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
        </w:trPr>
        <w:tc>
          <w:tcPr>
            <w:tcW w:w="46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local language film releases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content experiences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6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7"/>
        </w:trPr>
        <w:tc>
          <w:tcPr>
            <w:tcW w:w="46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hanging="315"/>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i w:val="1"/>
          <w:iCs w:val="1"/>
          <w:color w:val="auto"/>
        </w:rPr>
        <w:t>For the nine months ended September 30, 2024, the films released to the Company’s global network include five with IMAX DNA (2023 — five).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 xml:space="preserve">The films distributed through the Company’s global network during the nine months ended September 30, 2024 that generated the highest IMAX box office totals were </w:t>
      </w:r>
      <w:r>
        <w:rPr>
          <w:rFonts w:ascii="Times New Roman" w:cs="Times New Roman" w:eastAsia="Times New Roman" w:hAnsi="Times New Roman"/>
          <w:sz w:val="18"/>
          <w:szCs w:val="18"/>
          <w:i w:val="1"/>
          <w:iCs w:val="1"/>
          <w:color w:val="auto"/>
        </w:rPr>
        <w:t>Dune: Part Two, Deadpool &amp; Wolverine, Godzilla x Kong: The New Empire, Inside Out 2, Alien: Romulus, Kingdom of The Planet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Apes, Furiosa, Despicable Me 4, Pegasus 2,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YOLO. </w:t>
      </w:r>
      <w:r>
        <w:rPr>
          <w:rFonts w:ascii="Times New Roman" w:cs="Times New Roman" w:eastAsia="Times New Roman" w:hAnsi="Times New Roman"/>
          <w:sz w:val="18"/>
          <w:szCs w:val="18"/>
          <w:color w:val="auto"/>
        </w:rPr>
        <w:t>In addition, during the nine months ended September 30, 2024, a number of alternative content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films and events were distributed including </w:t>
      </w:r>
      <w:r>
        <w:rPr>
          <w:rFonts w:ascii="Times New Roman" w:cs="Times New Roman" w:eastAsia="Times New Roman" w:hAnsi="Times New Roman"/>
          <w:sz w:val="18"/>
          <w:szCs w:val="18"/>
          <w:i w:val="1"/>
          <w:iCs w:val="1"/>
          <w:color w:val="auto"/>
        </w:rPr>
        <w:t>Queen Rock Montreal,</w:t>
      </w:r>
      <w:r>
        <w:rPr>
          <w:rFonts w:ascii="Times New Roman" w:cs="Times New Roman" w:eastAsia="Times New Roman" w:hAnsi="Times New Roman"/>
          <w:sz w:val="18"/>
          <w:szCs w:val="18"/>
          <w:color w:val="auto"/>
        </w:rPr>
        <w:t xml:space="preserve"> monthly A24 mid-week film series, </w:t>
      </w:r>
      <w:r>
        <w:rPr>
          <w:rFonts w:ascii="Times New Roman" w:cs="Times New Roman" w:eastAsia="Times New Roman" w:hAnsi="Times New Roman"/>
          <w:sz w:val="18"/>
          <w:szCs w:val="18"/>
          <w:i w:val="1"/>
          <w:iCs w:val="1"/>
          <w:color w:val="auto"/>
        </w:rPr>
        <w:t>Suga - Agust D Tour D-Day The Movie, Fallout</w:t>
      </w:r>
      <w:r>
        <w:rPr>
          <w:rFonts w:ascii="Times New Roman" w:cs="Times New Roman" w:eastAsia="Times New Roman" w:hAnsi="Times New Roman"/>
          <w:sz w:val="18"/>
          <w:szCs w:val="18"/>
          <w:color w:val="auto"/>
        </w:rPr>
        <w:t xml:space="preserve"> series launch event, </w:t>
      </w:r>
      <w:r>
        <w:rPr>
          <w:rFonts w:ascii="Times New Roman" w:cs="Times New Roman" w:eastAsia="Times New Roman" w:hAnsi="Times New Roman"/>
          <w:sz w:val="18"/>
          <w:szCs w:val="18"/>
          <w:i w:val="1"/>
          <w:iCs w:val="1"/>
          <w:color w:val="auto"/>
        </w:rPr>
        <w:t>Fly: 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Korean concert film </w:t>
      </w:r>
      <w:r>
        <w:rPr>
          <w:rFonts w:ascii="Times New Roman" w:cs="Times New Roman" w:eastAsia="Times New Roman" w:hAnsi="Times New Roman"/>
          <w:sz w:val="18"/>
          <w:szCs w:val="18"/>
          <w:i w:val="1"/>
          <w:iCs w:val="1"/>
          <w:color w:val="auto"/>
        </w:rPr>
        <w:t>IM Hero: The Stadium,</w:t>
      </w:r>
      <w:r>
        <w:rPr>
          <w:rFonts w:ascii="Times New Roman" w:cs="Times New Roman" w:eastAsia="Times New Roman" w:hAnsi="Times New Roman"/>
          <w:sz w:val="18"/>
          <w:szCs w:val="18"/>
          <w:color w:val="auto"/>
        </w:rPr>
        <w:t xml:space="preserve"> live streaming of the NBA Finals in select IMAX China locations and NBC’s Paris Olympics Opening Ceremony in IMAX.</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addition to the 83 IMAX films and alternative content experiences released on the Company’s global network during the nine months ended September 30, 2024, the Company has announced the following additional 21 films and alternative content experiences to be released throughout the remainder of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2060" w:type="dxa"/>
            <w:vAlign w:val="bottom"/>
          </w:tcPr>
          <w:p>
            <w:pPr>
              <w:spacing w:after="0"/>
              <w:rPr>
                <w:sz w:val="14"/>
                <w:szCs w:val="14"/>
                <w:color w:val="auto"/>
              </w:rPr>
            </w:pPr>
          </w:p>
        </w:tc>
      </w:tr>
      <w:tr>
        <w:trPr>
          <w:trHeight w:val="229"/>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40" w:type="dxa"/>
            <w:vAlign w:val="bottom"/>
            <w:tcBorders>
              <w:bottom w:val="single" w:sz="8" w:color="CCEEFF"/>
            </w:tcBorders>
          </w:tcPr>
          <w:p>
            <w:pPr>
              <w:spacing w:after="0"/>
              <w:rPr>
                <w:sz w:val="19"/>
                <w:szCs w:val="19"/>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Studio</w:t>
            </w: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Release Date</w:t>
            </w:r>
            <w:r>
              <w:rPr>
                <w:rFonts w:ascii="Times New Roman" w:cs="Times New Roman" w:eastAsia="Times New Roman" w:hAnsi="Times New Roman"/>
                <w:sz w:val="18"/>
                <w:szCs w:val="18"/>
                <w:b w:val="1"/>
                <w:bCs w:val="1"/>
                <w:color w:val="auto"/>
                <w:w w:val="97"/>
                <w:vertAlign w:val="superscript"/>
              </w:rPr>
              <w:t>(1)</w:t>
            </w:r>
          </w:p>
        </w:tc>
        <w:tc>
          <w:tcPr>
            <w:tcW w:w="14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IMAX DNA</w:t>
            </w:r>
          </w:p>
        </w:tc>
      </w:tr>
      <w:tr>
        <w:trPr>
          <w:trHeight w:val="242"/>
        </w:trPr>
        <w:tc>
          <w:tcPr>
            <w:tcW w:w="4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749 Bureau</w:t>
            </w:r>
          </w:p>
        </w:tc>
        <w:tc>
          <w:tcPr>
            <w:tcW w:w="3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Maoyan</w:t>
            </w:r>
          </w:p>
        </w:tc>
        <w:tc>
          <w:tcPr>
            <w:tcW w:w="17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8"/>
              </w:rPr>
              <w:t>A Tapestry of a Legendary Land</w:t>
            </w:r>
          </w:p>
        </w:tc>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CFG</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Joker: Folie à Deux</w:t>
            </w:r>
          </w:p>
        </w:tc>
        <w:tc>
          <w:tcPr>
            <w:tcW w:w="3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Warner Bros. Pictures/DC Studios</w:t>
            </w:r>
          </w:p>
        </w:tc>
        <w:tc>
          <w:tcPr>
            <w:tcW w:w="17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Filmed For IMAX</w:t>
            </w:r>
          </w:p>
        </w:tc>
      </w:tr>
      <w:tr>
        <w:trPr>
          <w:trHeight w:val="242"/>
        </w:trPr>
        <w:tc>
          <w:tcPr>
            <w:tcW w:w="4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4"/>
              </w:rPr>
              <w:t>Tee Yod 2</w:t>
            </w:r>
          </w:p>
        </w:tc>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 Pictures</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8"/>
              </w:rPr>
              <w:t>League of Legends World Championship</w:t>
            </w:r>
          </w:p>
        </w:tc>
        <w:tc>
          <w:tcPr>
            <w:tcW w:w="3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TJ Sports</w:t>
            </w:r>
          </w:p>
        </w:tc>
        <w:tc>
          <w:tcPr>
            <w:tcW w:w="17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7"/>
              </w:rPr>
              <w:t>The Witch</w:t>
            </w:r>
          </w:p>
        </w:tc>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A24</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8"/>
              </w:rPr>
              <w:t>Venom: The Last Dance</w:t>
            </w:r>
          </w:p>
        </w:tc>
        <w:tc>
          <w:tcPr>
            <w:tcW w:w="3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Sony Pictures</w:t>
            </w:r>
          </w:p>
        </w:tc>
        <w:tc>
          <w:tcPr>
            <w:tcW w:w="17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Filmed For IMAX</w:t>
            </w:r>
          </w:p>
        </w:tc>
      </w:tr>
      <w:tr>
        <w:trPr>
          <w:trHeight w:val="242"/>
        </w:trPr>
        <w:tc>
          <w:tcPr>
            <w:tcW w:w="4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8"/>
              </w:rPr>
              <w:t>Megan Thee Stallion:In Her Words</w:t>
            </w:r>
          </w:p>
        </w:tc>
        <w:tc>
          <w:tcPr>
            <w:tcW w:w="3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Amazon MGM Studios</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Cesium Fallout</w:t>
            </w:r>
          </w:p>
        </w:tc>
        <w:tc>
          <w:tcPr>
            <w:tcW w:w="3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Edko Films</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9"/>
              </w:rPr>
              <w:t>Swan Lake</w:t>
            </w:r>
          </w:p>
        </w:tc>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Pathé Live</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Filmed For IMAX</w:t>
            </w:r>
          </w:p>
        </w:tc>
      </w:tr>
      <w:tr>
        <w:trPr>
          <w:trHeight w:val="26"/>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3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9"/>
              </w:rPr>
              <w:t>Red One</w:t>
            </w:r>
          </w:p>
        </w:tc>
        <w:tc>
          <w:tcPr>
            <w:tcW w:w="3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Amazon MGM Studios</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The Lighthouse</w:t>
            </w:r>
          </w:p>
        </w:tc>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A24</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Gladiator II</w:t>
            </w:r>
          </w:p>
        </w:tc>
        <w:tc>
          <w:tcPr>
            <w:tcW w:w="3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Paramount Pictures</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Wicked – Part 1</w:t>
            </w:r>
          </w:p>
        </w:tc>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Universal Pictures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3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8"/>
              </w:rPr>
              <w:t>Lupin III: The Castle of Cagliostro</w:t>
            </w:r>
          </w:p>
        </w:tc>
        <w:tc>
          <w:tcPr>
            <w:tcW w:w="3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Toho</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Moana 2</w:t>
            </w:r>
          </w:p>
        </w:tc>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Walt Disney Studios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8"/>
              </w:rPr>
              <w:t>Laufey’s A Night at the Symphony:Hollywood Bowl</w:t>
            </w:r>
          </w:p>
        </w:tc>
        <w:tc>
          <w:tcPr>
            <w:tcW w:w="3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Trafalgar Releasing</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December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9"/>
              </w:rPr>
              <w:t>Kraven the Hunter</w:t>
            </w:r>
          </w:p>
        </w:tc>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Sony Pictures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December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8"/>
              </w:rPr>
              <w:t>The Lord of the Rings: The War of the Rohirrim</w:t>
            </w:r>
          </w:p>
        </w:tc>
        <w:tc>
          <w:tcPr>
            <w:tcW w:w="3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Warner Bros. Pictures</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December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Mufasa: The Lion King</w:t>
            </w:r>
          </w:p>
        </w:tc>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Walt Disney Studios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December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2"/>
        </w:trPr>
        <w:tc>
          <w:tcPr>
            <w:tcW w:w="4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Nosferatu</w:t>
            </w:r>
          </w:p>
        </w:tc>
        <w:tc>
          <w:tcPr>
            <w:tcW w:w="3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Focus Features</w:t>
            </w:r>
          </w:p>
        </w:tc>
        <w:tc>
          <w:tcPr>
            <w:tcW w:w="17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December 2024</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96" w:lineRule="exact"/>
        <w:rPr>
          <w:sz w:val="20"/>
          <w:szCs w:val="20"/>
          <w:color w:val="auto"/>
        </w:rPr>
      </w:pPr>
    </w:p>
    <w:p>
      <w:pPr>
        <w:ind w:left="340" w:hanging="315"/>
        <w:spacing w:after="0"/>
        <w:tabs>
          <w:tab w:leader="none" w:pos="3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scheduled release dates in the table above are subject to change, may vary by territory, and may not reflect the date(s) of limited premiere events.</w:t>
      </w:r>
    </w:p>
    <w:p>
      <w:pPr>
        <w:spacing w:after="0" w:line="368"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 xml:space="preserve">The Company remains in active negotiations with studios for additional films to fill out its short- and long-term film slate for the IMAX network. The Company expects to continue announcing additional local language films and exclusive IMAX events and experiences to be released throughout the remainder of 2024 to its global network. The Company has also announced some Hollywood titles to be released in IMAX in 2025 including </w:t>
      </w:r>
      <w:r>
        <w:rPr>
          <w:rFonts w:ascii="Times New Roman" w:cs="Times New Roman" w:eastAsia="Times New Roman" w:hAnsi="Times New Roman"/>
          <w:sz w:val="18"/>
          <w:szCs w:val="18"/>
          <w:i w:val="1"/>
          <w:iCs w:val="1"/>
          <w:color w:val="auto"/>
        </w:rPr>
        <w:t>Avatar 3</w:t>
      </w:r>
      <w:r>
        <w:rPr>
          <w:rFonts w:ascii="Times New Roman" w:cs="Times New Roman" w:eastAsia="Times New Roman" w:hAnsi="Times New Roman"/>
          <w:sz w:val="18"/>
          <w:szCs w:val="18"/>
          <w:color w:val="auto"/>
        </w:rPr>
        <w:t xml:space="preserve"> and a record 14 or more Filmed For IMAX titles including three Marvel titles, the latest </w:t>
      </w:r>
      <w:r>
        <w:rPr>
          <w:rFonts w:ascii="Times New Roman" w:cs="Times New Roman" w:eastAsia="Times New Roman" w:hAnsi="Times New Roman"/>
          <w:sz w:val="18"/>
          <w:szCs w:val="18"/>
          <w:i w:val="1"/>
          <w:iCs w:val="1"/>
          <w:color w:val="auto"/>
        </w:rPr>
        <w:t>Mission Impossible</w:t>
      </w:r>
      <w:r>
        <w:rPr>
          <w:rFonts w:ascii="Times New Roman" w:cs="Times New Roman" w:eastAsia="Times New Roman" w:hAnsi="Times New Roman"/>
          <w:sz w:val="18"/>
          <w:szCs w:val="18"/>
          <w:color w:val="auto"/>
        </w:rPr>
        <w:t xml:space="preserve"> installment, </w:t>
      </w:r>
      <w:r>
        <w:rPr>
          <w:rFonts w:ascii="Times New Roman" w:cs="Times New Roman" w:eastAsia="Times New Roman" w:hAnsi="Times New Roman"/>
          <w:sz w:val="18"/>
          <w:szCs w:val="18"/>
          <w:i w:val="1"/>
          <w:iCs w:val="1"/>
          <w:color w:val="auto"/>
        </w:rPr>
        <w:t>Superman Legacy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F1</w:t>
      </w:r>
      <w:r>
        <w:rPr>
          <w:rFonts w:ascii="Times New Roman" w:cs="Times New Roman" w:eastAsia="Times New Roman" w:hAnsi="Times New Roman"/>
          <w:sz w:val="18"/>
          <w:szCs w:val="18"/>
          <w:color w:val="auto"/>
        </w:rPr>
        <w:t xml:space="preserve"> from Apple. Additionally, IMAX expects to distribute a number of major titles in 2026 including sequels to </w:t>
      </w:r>
      <w:r>
        <w:rPr>
          <w:rFonts w:ascii="Times New Roman" w:cs="Times New Roman" w:eastAsia="Times New Roman" w:hAnsi="Times New Roman"/>
          <w:sz w:val="18"/>
          <w:szCs w:val="18"/>
          <w:i w:val="1"/>
          <w:iCs w:val="1"/>
          <w:color w:val="auto"/>
        </w:rPr>
        <w:t>Super Mario Bros, Avengers, Star Wars, Toy Story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Batman</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 Content Solutions</w:t>
      </w:r>
    </w:p>
    <w:p>
      <w:pPr>
        <w:spacing w:after="0" w:line="251" w:lineRule="exact"/>
        <w:rPr>
          <w:sz w:val="20"/>
          <w:szCs w:val="20"/>
          <w:color w:val="auto"/>
        </w:rPr>
      </w:pPr>
    </w:p>
    <w:p>
      <w:pPr>
        <w:jc w:val="both"/>
        <w:ind w:firstLine="193"/>
        <w:spacing w:after="0" w:line="251" w:lineRule="auto"/>
        <w:rPr>
          <w:sz w:val="20"/>
          <w:szCs w:val="20"/>
          <w:color w:val="auto"/>
        </w:rPr>
      </w:pPr>
      <w:r>
        <w:rPr>
          <w:rFonts w:ascii="Times New Roman" w:cs="Times New Roman" w:eastAsia="Times New Roman" w:hAnsi="Times New Roman"/>
          <w:sz w:val="18"/>
          <w:szCs w:val="18"/>
          <w:color w:val="auto"/>
        </w:rPr>
        <w:t xml:space="preserve">The Company distributes large-format documentary feature films through its global commercial network and institutional theaters. The Company traditionally receives as its distribution fee either a fixed amount or a fixed percentage of the theater box office receipts and, following the recoupment of its costs, is typically entitled to receive an additional percentage of gross revenues as participation revenues. In May 2024, Amazon Content LLC (“Amazon Content”) acquired the worldwide rights to the Company’s original documentary,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xml:space="preserve">, which was filmed with IMAX digital certified cameras and produced in collaboration with Dolphin Entertainment, Bad Robot Productions, and Zipper Bros Films. The full-length documentary was released to select commercial locations across the IMAX network on May 17, 2024, and a 40-minute version will be released to institutional locations beginning in early 2025. Additionally, the Company had limited commercial network releases of the documentaries </w:t>
      </w:r>
      <w:r>
        <w:rPr>
          <w:rFonts w:ascii="Times New Roman" w:cs="Times New Roman" w:eastAsia="Times New Roman" w:hAnsi="Times New Roman"/>
          <w:sz w:val="18"/>
          <w:szCs w:val="18"/>
          <w:i w:val="1"/>
          <w:iCs w:val="1"/>
          <w:color w:val="auto"/>
        </w:rPr>
        <w:t>Skywalkers: A Love Story 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Fly: The </w:t>
      </w:r>
      <w:r>
        <w:rPr>
          <w:rFonts w:ascii="Times New Roman" w:cs="Times New Roman" w:eastAsia="Times New Roman" w:hAnsi="Times New Roman"/>
          <w:sz w:val="18"/>
          <w:szCs w:val="18"/>
          <w:color w:val="auto"/>
        </w:rPr>
        <w:t>IMAX</w:t>
      </w:r>
      <w:r>
        <w:rPr>
          <w:rFonts w:ascii="Times New Roman" w:cs="Times New Roman" w:eastAsia="Times New Roman" w:hAnsi="Times New Roman"/>
          <w:sz w:val="18"/>
          <w:szCs w:val="18"/>
          <w:i w:val="1"/>
          <w:iCs w:val="1"/>
          <w:color w:val="auto"/>
        </w:rPr>
        <w:t xml:space="preserve"> Experience</w:t>
      </w:r>
      <w:r>
        <w:rPr>
          <w:rFonts w:ascii="Times New Roman" w:cs="Times New Roman" w:eastAsia="Times New Roman" w:hAnsi="Times New Roman"/>
          <w:sz w:val="18"/>
          <w:szCs w:val="18"/>
          <w:color w:val="auto"/>
        </w:rPr>
        <w:t>, in partnership with Netflix and National Geographic, respectfully. Upcoming documentaries in production include</w:t>
      </w:r>
      <w:r>
        <w:rPr>
          <w:rFonts w:ascii="Times New Roman" w:cs="Times New Roman" w:eastAsia="Times New Roman" w:hAnsi="Times New Roman"/>
          <w:sz w:val="18"/>
          <w:szCs w:val="18"/>
          <w:i w:val="1"/>
          <w:iCs w:val="1"/>
          <w:color w:val="auto"/>
        </w:rPr>
        <w:t xml:space="preserve"> The Elephant Odyssey, </w:t>
      </w:r>
      <w:r>
        <w:rPr>
          <w:rFonts w:ascii="Times New Roman" w:cs="Times New Roman" w:eastAsia="Times New Roman" w:hAnsi="Times New Roman"/>
          <w:sz w:val="18"/>
          <w:szCs w:val="18"/>
          <w:color w:val="auto"/>
        </w:rPr>
        <w:t>a documentary in collaboration with Beach House Pictures Pte Ltd and China International Communications Group,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announced in 2023 and is expected to be released in 2025, and </w:t>
      </w:r>
      <w:r>
        <w:rPr>
          <w:rFonts w:ascii="Times New Roman" w:cs="Times New Roman" w:eastAsia="Times New Roman" w:hAnsi="Times New Roman"/>
          <w:sz w:val="18"/>
          <w:szCs w:val="18"/>
          <w:i w:val="1"/>
          <w:iCs w:val="1"/>
          <w:color w:val="auto"/>
        </w:rPr>
        <w:t>Stormbound</w:t>
      </w:r>
      <w:r>
        <w:rPr>
          <w:rFonts w:ascii="Times New Roman" w:cs="Times New Roman" w:eastAsia="Times New Roman" w:hAnsi="Times New Roman"/>
          <w:sz w:val="18"/>
          <w:szCs w:val="18"/>
          <w:color w:val="auto"/>
        </w:rPr>
        <w:t xml:space="preserve">, an additional feature documentary produced by Academy Award-winning producer, Adam McKay, which will be released in 2025 followed by </w:t>
      </w:r>
      <w:r>
        <w:rPr>
          <w:rFonts w:ascii="Times New Roman" w:cs="Times New Roman" w:eastAsia="Times New Roman" w:hAnsi="Times New Roman"/>
          <w:sz w:val="18"/>
          <w:szCs w:val="18"/>
          <w:i w:val="1"/>
          <w:iCs w:val="1"/>
          <w:color w:val="auto"/>
        </w:rPr>
        <w:t>The Lost Wolves of Yellowstone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addition, the Company continues to evolve its platform to bring new, innovative IMAX events and experiences to audiences worldwide. As of September 30, 2024, the Company had a footprint of 265 connected locations in the IMAX network across North America, Europe, Africa, Australia and Asia configured with connectivity to deliver live and interactive events with low latency and superior sight and sound.</w:t>
      </w:r>
    </w:p>
    <w:p>
      <w:pPr>
        <w:spacing w:after="0" w:line="202" w:lineRule="exact"/>
        <w:rPr>
          <w:sz w:val="20"/>
          <w:szCs w:val="20"/>
          <w:color w:val="auto"/>
        </w:rPr>
      </w:pPr>
    </w:p>
    <w:p>
      <w:pPr>
        <w:jc w:val="both"/>
        <w:ind w:firstLine="193"/>
        <w:spacing w:after="0" w:line="243" w:lineRule="auto"/>
        <w:rPr>
          <w:sz w:val="20"/>
          <w:szCs w:val="20"/>
          <w:color w:val="auto"/>
        </w:rPr>
      </w:pPr>
      <w:r>
        <w:rPr>
          <w:rFonts w:ascii="Times New Roman" w:cs="Times New Roman" w:eastAsia="Times New Roman" w:hAnsi="Times New Roman"/>
          <w:sz w:val="18"/>
          <w:szCs w:val="18"/>
          <w:color w:val="auto"/>
        </w:rPr>
        <w:t xml:space="preserve">In the nine months ended September 30, 2024, the Company partnered with Pathé Live for the exclusive release of </w:t>
      </w:r>
      <w:r>
        <w:rPr>
          <w:rFonts w:ascii="Times New Roman" w:cs="Times New Roman" w:eastAsia="Times New Roman" w:hAnsi="Times New Roman"/>
          <w:sz w:val="18"/>
          <w:szCs w:val="18"/>
          <w:i w:val="1"/>
          <w:iCs w:val="1"/>
          <w:color w:val="auto"/>
        </w:rPr>
        <w:t>Queen Rock Montreal,</w:t>
      </w:r>
      <w:r>
        <w:rPr>
          <w:rFonts w:ascii="Times New Roman" w:cs="Times New Roman" w:eastAsia="Times New Roman" w:hAnsi="Times New Roman"/>
          <w:sz w:val="18"/>
          <w:szCs w:val="18"/>
          <w:color w:val="auto"/>
        </w:rPr>
        <w:t xml:space="preserve"> which became one of the Company’s highest grossing concert films ever, along with 2023’s </w:t>
      </w:r>
      <w:r>
        <w:rPr>
          <w:rFonts w:ascii="Times New Roman" w:cs="Times New Roman" w:eastAsia="Times New Roman" w:hAnsi="Times New Roman"/>
          <w:sz w:val="18"/>
          <w:szCs w:val="18"/>
          <w:i w:val="1"/>
          <w:iCs w:val="1"/>
          <w:color w:val="auto"/>
        </w:rPr>
        <w:t>Taylor Swift: The Eras Tour</w:t>
      </w:r>
      <w:r>
        <w:rPr>
          <w:rFonts w:ascii="Times New Roman" w:cs="Times New Roman" w:eastAsia="Times New Roman" w:hAnsi="Times New Roman"/>
          <w:sz w:val="18"/>
          <w:szCs w:val="18"/>
          <w:color w:val="auto"/>
        </w:rPr>
        <w:t xml:space="preserve">. In addition, the Company hosted an IMAX event, </w:t>
      </w:r>
      <w:r>
        <w:rPr>
          <w:rFonts w:ascii="Times New Roman" w:cs="Times New Roman" w:eastAsia="Times New Roman" w:hAnsi="Times New Roman"/>
          <w:sz w:val="18"/>
          <w:szCs w:val="18"/>
          <w:i w:val="1"/>
          <w:iCs w:val="1"/>
          <w:color w:val="auto"/>
        </w:rPr>
        <w:t>Andre 3000: New Blue Sun</w:t>
      </w:r>
      <w:r>
        <w:rPr>
          <w:rFonts w:ascii="Times New Roman" w:cs="Times New Roman" w:eastAsia="Times New Roman" w:hAnsi="Times New Roman"/>
          <w:sz w:val="18"/>
          <w:szCs w:val="18"/>
          <w:color w:val="auto"/>
        </w:rPr>
        <w:t>, and entered into a partnership with A24 for a monthly one-night-only IMAX release of classic A24 titles, including Alex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Garland’s highly acclaimed </w:t>
      </w:r>
      <w:r>
        <w:rPr>
          <w:rFonts w:ascii="Times New Roman" w:cs="Times New Roman" w:eastAsia="Times New Roman" w:hAnsi="Times New Roman"/>
          <w:sz w:val="18"/>
          <w:szCs w:val="18"/>
          <w:i w:val="1"/>
          <w:iCs w:val="1"/>
          <w:color w:val="auto"/>
        </w:rPr>
        <w:t>Ex Machina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Uncut Gems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Hereditary</w:t>
      </w:r>
      <w:r>
        <w:rPr>
          <w:rFonts w:ascii="Times New Roman" w:cs="Times New Roman" w:eastAsia="Times New Roman" w:hAnsi="Times New Roman"/>
          <w:sz w:val="18"/>
          <w:szCs w:val="18"/>
          <w:color w:val="auto"/>
        </w:rPr>
        <w:t>. Additionally, the Company hosted multiple IMAX Live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events, including screening the NBA finals across multiple IMAX locations in the Asia Pacific region, the screening of </w:t>
      </w:r>
      <w:r>
        <w:rPr>
          <w:rFonts w:ascii="Times New Roman" w:cs="Times New Roman" w:eastAsia="Times New Roman" w:hAnsi="Times New Roman"/>
          <w:sz w:val="18"/>
          <w:szCs w:val="18"/>
          <w:i w:val="1"/>
          <w:iCs w:val="1"/>
          <w:color w:val="auto"/>
        </w:rPr>
        <w:t>The Beach Boys:</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Live Experience</w:t>
      </w:r>
      <w:r>
        <w:rPr>
          <w:rFonts w:ascii="Times New Roman" w:cs="Times New Roman" w:eastAsia="Times New Roman" w:hAnsi="Times New Roman"/>
          <w:sz w:val="18"/>
          <w:szCs w:val="18"/>
          <w:color w:val="auto"/>
        </w:rPr>
        <w:t xml:space="preserve">, the special advance screening and live event for </w:t>
      </w:r>
      <w:r>
        <w:rPr>
          <w:rFonts w:ascii="Times New Roman" w:cs="Times New Roman" w:eastAsia="Times New Roman" w:hAnsi="Times New Roman"/>
          <w:sz w:val="18"/>
          <w:szCs w:val="18"/>
          <w:i w:val="1"/>
          <w:iCs w:val="1"/>
          <w:color w:val="auto"/>
        </w:rPr>
        <w:t>Megalopolis: The Ultimate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the live pre-show Q&amp;A with the cast of </w:t>
      </w:r>
      <w:r>
        <w:rPr>
          <w:rFonts w:ascii="Times New Roman" w:cs="Times New Roman" w:eastAsia="Times New Roman" w:hAnsi="Times New Roman"/>
          <w:sz w:val="18"/>
          <w:szCs w:val="18"/>
          <w:i w:val="1"/>
          <w:iCs w:val="1"/>
          <w:color w:val="auto"/>
        </w:rPr>
        <w:t>Twisters</w:t>
      </w:r>
      <w:r>
        <w:rPr>
          <w:rFonts w:ascii="Times New Roman" w:cs="Times New Roman" w:eastAsia="Times New Roman" w:hAnsi="Times New Roman"/>
          <w:sz w:val="18"/>
          <w:szCs w:val="18"/>
          <w:color w:val="auto"/>
        </w:rPr>
        <w:t>, and in partnership with NBC television network, extended its live coverage of the 2024 Paris Olympics Opening Ceremony to select IMAX locations throughout the United States.</w:t>
      </w:r>
    </w:p>
    <w:p>
      <w:pPr>
        <w:spacing w:after="0" w:line="22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provides film post-production and quality control services for large-format films, whether produced by IMAX or third-parties, and digital post-production services. In addition, the Company also provides IMAX film and digital cameras to content creators under the IMAX certified camera program.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Products and Services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works with filmmakers, studios, and artists end-to-end from content creation through content delivery. The Company provides IMAX film cameras to select IMAX and third-party productions and certifies a suite of high-end digital cameras to shoot in the IMAX format under its Filmed For IMAX program. In addition, the Company provides post-production — including its proprietary DMR process — and quality control services for films that are distributed across the IMAX network.</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Sales and Sales-Type Lease Arrangements</w:t>
      </w:r>
    </w:p>
    <w:p>
      <w:pPr>
        <w:spacing w:after="0" w:line="251"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IMAX System. Initial fees are paid to the Company in installments typically between the time of signing the arrangement and the time of system installation. Once an IMAX System is installed, the initial fees and the present value of future annual minimum payments, which are financing fees, are recognized as revenue. In addition, in sale arrangements, the present value of the estimated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 Finance income is recognized over the term of a financed sale or sales-type lease arrangement.</w:t>
      </w:r>
    </w:p>
    <w:p>
      <w:pPr>
        <w:spacing w:after="0" w:line="21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sale arrangements, title to the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revenue earned from customers under the Company’s IMAX System sale or sales-type lease agreements varies from quarter-to- quarter and year-to-year based on a number of factors, including the number and mix of IMAX System configurations sold or leased, the timing of installation of the IMAX Systems, the nature of the arrangement and other factors specific to individual contracts.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provides IMAX Systems to exhibitors through joint revenue sharing arrangements (“JRSA”). Under the traditional form of these arrangements, the Company provides the IMAX System under a long-term lease in which the Company assumes the majority of the equipment and installation costs. In exchange for its upfront investment, the Company, primarily, earns rent based on a percentage of contingent box office receipts rather than requiring the customer to pay a fixed upfront fee or fixed annual minimum payments. Rental payments from the customer are required throughout the term of the arrangement and are typically due either monthly or quarterly. The Company retains title to the IMAX System equipment components throughout the lease term, and the equipment is returned to the Company at the conclusion of the arrangement.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Under certain other joint revenue sharing arrangements, known as hybrid arrangements, the customer is responsible for making fixed upfront payments prior to the delivery and installation of the IMAX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Hybrid joint revenue sharing arrangements take the form of a sale. The fixed upfront payment is recognized when the lease term commences and is recorded within Revenues – Technology Sales. The contingent rent is recognized as revenue over the lease term and is recorded within Revenues – Technology Rentals.</w:t>
      </w:r>
    </w:p>
    <w:p>
      <w:pPr>
        <w:spacing w:after="0" w:line="21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revenue earned from customers under the Company’s joint revenue sharing arrangements can vary from quarter-to-quarter and year-to-year based on a number of factors that drive box office levels including film performance, the mix of IMAX System configurations, the timing of installation of IMAX Systems, the nature of the arrangement, the location, size and management of the theater and other factors specific to individual arrangements.</w:t>
      </w:r>
    </w:p>
    <w:p>
      <w:pPr>
        <w:spacing w:after="0" w:line="20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Joint revenue sharing arrangements also require IMAX to provide maintenance and extended warranty services to the customer over the term of the lease in exchange for a separate fixed annual fee. These fees are reported within IMAX Maintenance, as discussed below.</w:t>
      </w:r>
    </w:p>
    <w:p>
      <w:pPr>
        <w:spacing w:after="0" w:line="18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Joint revenue sharing arrangements have been an important factor in the expansion of the Company’s commercial system network. Joint revenue sharing arrangements allow commercial theater exhibitors to install IMAX Systems without the significant initial capital investment required in a sale or sales-type lease arrangement. Joint revenue sharing arrangements drive recurring cash flows and earnings for the Company as customers under these arrangements pay the Company a portion of their ongoing box office receipts. The Company funds its investment in equipment for joint revenue sharing arrangements through cash flows from operations. As of September 30, 2024, the Company had 894 locations under joint revenue sharing arrangements in its global commercial multiplex network. The Company also had contracts in backlog for 302 systems under joint revenue sharing arrangements as of September 30, 2024, including 92 upgrades to existing locations and 210 new locations.</w:t>
      </w: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system agreements.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Streaming and Consumer Technology</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Streaming and Consumer Technology includes the Company’s Streaming Technology software offerings and IMAX Enhanced product services.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Streaming Technology consists of several software products including:</w:t>
      </w:r>
    </w:p>
    <w:p>
      <w:pPr>
        <w:spacing w:after="0" w:line="230" w:lineRule="exact"/>
        <w:rPr>
          <w:sz w:val="20"/>
          <w:szCs w:val="20"/>
          <w:color w:val="auto"/>
        </w:rPr>
      </w:pPr>
    </w:p>
    <w:p>
      <w:pPr>
        <w:ind w:left="780" w:hanging="387"/>
        <w:spacing w:after="0" w:line="279" w:lineRule="auto"/>
        <w:tabs>
          <w:tab w:leader="none" w:pos="7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StreamSmart – works within existing video compression workflows to reduce bitrates and retain picture quality across all devices and formats and deliver significant cost savings.</w:t>
      </w:r>
    </w:p>
    <w:p>
      <w:pPr>
        <w:spacing w:after="0" w:line="189" w:lineRule="exact"/>
        <w:rPr>
          <w:rFonts w:ascii="Times New Roman" w:cs="Times New Roman" w:eastAsia="Times New Roman" w:hAnsi="Times New Roman"/>
          <w:sz w:val="18"/>
          <w:szCs w:val="18"/>
          <w:color w:val="auto"/>
        </w:rPr>
      </w:pPr>
    </w:p>
    <w:p>
      <w:pPr>
        <w:ind w:left="780" w:right="20" w:hanging="387"/>
        <w:spacing w:after="0" w:line="279" w:lineRule="auto"/>
        <w:tabs>
          <w:tab w:leader="none" w:pos="7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StreamAware On-Demand – all-in-one quality assurance and quality control to automate and standardize checks for comprehensive content integrity and regulatory compliance for third-party content libraries, across an entire video compression workflow.</w:t>
      </w:r>
    </w:p>
    <w:p>
      <w:pPr>
        <w:spacing w:after="0" w:line="189" w:lineRule="exact"/>
        <w:rPr>
          <w:rFonts w:ascii="Times New Roman" w:cs="Times New Roman" w:eastAsia="Times New Roman" w:hAnsi="Times New Roman"/>
          <w:sz w:val="18"/>
          <w:szCs w:val="18"/>
          <w:color w:val="auto"/>
        </w:rPr>
      </w:pPr>
    </w:p>
    <w:p>
      <w:pPr>
        <w:ind w:left="780" w:right="20" w:hanging="387"/>
        <w:spacing w:after="0" w:line="279" w:lineRule="auto"/>
        <w:tabs>
          <w:tab w:leader="none" w:pos="7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StreamAware On-Air – real-time monitoring software for live streams, which enables users to monitor video quality across their networks and to identify and address streaming issues.</w:t>
      </w:r>
    </w:p>
    <w:p>
      <w:pPr>
        <w:spacing w:after="0" w:line="189"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These AI-powered products allow streaming platforms and broadcasters to automate workflows. The Company believes that these products allow users to deliver the highest quality viewing experiences to their subscribers while reducing costs.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3" w:lineRule="exact"/>
        <w:rPr>
          <w:sz w:val="20"/>
          <w:szCs w:val="20"/>
          <w:color w:val="auto"/>
        </w:rPr>
      </w:pPr>
    </w:p>
    <w:p>
      <w:pPr>
        <w:jc w:val="both"/>
        <w:ind w:firstLine="193"/>
        <w:spacing w:after="0" w:line="265" w:lineRule="auto"/>
        <w:rPr>
          <w:sz w:val="20"/>
          <w:szCs w:val="20"/>
          <w:color w:val="auto"/>
        </w:rPr>
      </w:pPr>
      <w:r>
        <w:rPr>
          <w:rFonts w:ascii="Times New Roman" w:cs="Times New Roman" w:eastAsia="Times New Roman" w:hAnsi="Times New Roman"/>
          <w:sz w:val="18"/>
          <w:szCs w:val="18"/>
          <w:color w:val="auto"/>
        </w:rPr>
        <w:t xml:space="preserve">IMAX Enhanced is a solution to bring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into the home. IMAX Enhanced provides end-to-end premium technology across streaming content and best-in-class entertainment devices, offering consumers high-fidelity playback of image and sound in the home and beyond, including the following features:</w:t>
      </w:r>
    </w:p>
    <w:p>
      <w:pPr>
        <w:spacing w:after="0" w:line="201" w:lineRule="exact"/>
        <w:rPr>
          <w:sz w:val="20"/>
          <w:szCs w:val="20"/>
          <w:color w:val="auto"/>
        </w:rPr>
      </w:pPr>
    </w:p>
    <w:p>
      <w:pPr>
        <w:ind w:left="780" w:hanging="387"/>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expanded aspect ratio, which is available on select titles and streaming platforms, including Disney+;</w:t>
      </w:r>
    </w:p>
    <w:p>
      <w:pPr>
        <w:spacing w:after="0" w:line="248" w:lineRule="exact"/>
        <w:rPr>
          <w:rFonts w:ascii="Times New Roman" w:cs="Times New Roman" w:eastAsia="Times New Roman" w:hAnsi="Times New Roman"/>
          <w:sz w:val="18"/>
          <w:szCs w:val="18"/>
          <w:color w:val="auto"/>
        </w:rPr>
      </w:pPr>
    </w:p>
    <w:p>
      <w:pPr>
        <w:ind w:left="780" w:hanging="387"/>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proprietary remastering technology, which produces more vivid, higher-fidelity 4K HDR images on premium televisions; and</w:t>
      </w:r>
    </w:p>
    <w:p>
      <w:pPr>
        <w:spacing w:after="0" w:line="248" w:lineRule="exact"/>
        <w:rPr>
          <w:rFonts w:ascii="Times New Roman" w:cs="Times New Roman" w:eastAsia="Times New Roman" w:hAnsi="Times New Roman"/>
          <w:sz w:val="18"/>
          <w:szCs w:val="18"/>
          <w:color w:val="auto"/>
        </w:rPr>
      </w:pPr>
    </w:p>
    <w:p>
      <w:pPr>
        <w:ind w:left="780" w:hanging="387"/>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signature sound, which was specially recreated and calibrated for the home to unlock more immersive audio.</w:t>
      </w:r>
    </w:p>
    <w:p>
      <w:pPr>
        <w:spacing w:after="0" w:line="24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To be certified as IMAX Enhanced, leading consumer electronics manufacturers spanning 4K/8K televisions, projectors, A/V receivers, loudspeakers, soundbars, smartphones, personal computers, tablets, and more must meet a carefully prescribed set of audiovisual performance standards, set by a certification committee, along with some of Hollywood’s leading technical specialist.</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At present, certified global device partners include Sony Electronics, Hisense, TCL, LG, Phillips, Hewlett Packard, Xiaomi, Sound United and Honor, among others. As of September 30, 2024, more than 300 IMAX Enhanced titles have been released across five of the biggest streaming platforms worldwide: Disney+, Sony Bravia CORE, Tencent Video, iQiyi and Rakuten TV. Over 15 million IMAX Enhanced certified devices are estimated to be in the market today.</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1"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7"/>
          <w:szCs w:val="17"/>
          <w:color w:val="auto"/>
        </w:rPr>
        <w:t>All Other also includes revenues from sources including one owned and operated IMAX System in Sacramento, California; a commercial arrangement with one theater resulting in the sharing of profits and losses; the provision of management services to three other theaters; renting the Company’s proprietary 2D and 3D large-format film cameras; and offering production advice and technical assistance to both documentary and Hollywood filmmakers.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NETWORK AND BACKLOG</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Network</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 provides detailed information about the IMAX network by type and geographic location as of September 30, 2024 and 2023. For additional information regarding the composition of the IMAX network, see “Marketing and Customers” in Part I, Item 1 of the Company’s 2023 Form 10-K.</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40" w:type="dxa"/>
            <w:vAlign w:val="bottom"/>
          </w:tcPr>
          <w:p>
            <w:pPr>
              <w:spacing w:after="0"/>
              <w:rPr>
                <w:sz w:val="16"/>
                <w:szCs w:val="16"/>
                <w:color w:val="auto"/>
              </w:rPr>
            </w:pPr>
          </w:p>
        </w:tc>
      </w:tr>
      <w:tr>
        <w:trPr>
          <w:trHeight w:val="38"/>
        </w:trPr>
        <w:tc>
          <w:tcPr>
            <w:tcW w:w="2020" w:type="dxa"/>
            <w:vAlign w:val="bottom"/>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0"/>
        </w:trPr>
        <w:tc>
          <w:tcPr>
            <w:tcW w:w="20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7"/>
        </w:trPr>
        <w:tc>
          <w:tcPr>
            <w:tcW w:w="20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Destination</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0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2"/>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42"/>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6"/>
        </w:trPr>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8"/>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6"/>
        </w:trPr>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68"/>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23"/>
                <w:szCs w:val="23"/>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6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62"/>
        </w:trPr>
        <w:tc>
          <w:tcPr>
            <w:tcW w:w="202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w:t>
            </w:r>
          </w:p>
        </w:tc>
      </w:tr>
      <w:tr>
        <w:trPr>
          <w:trHeight w:val="20"/>
        </w:trPr>
        <w:tc>
          <w:tcPr>
            <w:tcW w:w="2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Greater China includes China, Hong Kong, Taiwan, and Macau.</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Latin America includes South America, Central America, and Mexico.</w:t>
      </w:r>
    </w:p>
    <w:p>
      <w:pPr>
        <w:spacing w:after="0" w:line="8"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 above are reported net of the effect of permanently closed locations.</w:t>
      </w:r>
    </w:p>
    <w:p>
      <w:pPr>
        <w:spacing w:after="0" w:line="368"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(See “Risk Factors – The Company faces risks in connection with its significant presence in China and the continued expansion of its business there.” and “– The Company may not convert all of its backlog into revenue and cash flows” in Part II, Item 1A of this Form 10-Q and “Risk Factors – General political, social and economic conditions can affect the Company’s business by reducing both revenues generated from existing IMAX Systems and the demand for new IMAX Systems,” and in Part I, Item 1A of the Company’s 2023 Form 10-K.)</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IMAX currently estimates a worldwide commercial multiplex addressable market of 3,619 locations, of which there are 1,714 IMAX Systems operating as of September 30, 2024, representing a market penetration of only 47%. The Company believes that the majority of its future growth will come from international markets. As of September 30, 2024, 76% of IMAX Systems in the global commercial multiplex network were located within international markets (defined as all countries other than the United States and Canada). Revenues and GBO derived from international markets continue to exceed revenues and GBO from the United States and Canada. Risks associated with the Company’s international business are outlined in “Risk Factors – The Company conducts business internationally, which exposes it to uncertainties and risks that could negatively affect its operations, sales and future growth prospects” in Part I, Item 1A of the Company’s 2023 Form 10-K.</w:t>
      </w:r>
    </w:p>
    <w:p>
      <w:pPr>
        <w:spacing w:after="0" w:line="21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In the nine months ended September 30, 2024, the Company’s revenue generated from its Greater China operations represents 25% of consolidated revenue. As of September 30, 2024, the Company had 808 IMAX Systems operating in Greater China with an additional 254 systems in backlog.</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the nine months ended September 30, 2024, the IMAX network generated over $114 million in box office from local language films, representing approximately 16% of the Company’s total box office in the period. The Company is also seeing its local language films increasingly generate significant IMAX box office in markets outside of those in which they are released</w:t>
      </w:r>
      <w:r>
        <w:rPr>
          <w:rFonts w:ascii="Times New Roman" w:cs="Times New Roman" w:eastAsia="Times New Roman" w:hAnsi="Times New Roman"/>
          <w:sz w:val="18"/>
          <w:szCs w:val="18"/>
          <w:i w:val="1"/>
          <w:iCs w:val="1"/>
          <w:color w:val="auto"/>
        </w:rPr>
        <w:t>.</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following tables provide detailed information about the Company’s commercial multiplex network by arrangement type and geographic location as of</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gridSpan w:val="3"/>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6"/>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4"/>
        </w:trPr>
        <w:tc>
          <w:tcPr>
            <w:tcW w:w="4600" w:type="dxa"/>
            <w:vAlign w:val="bottom"/>
          </w:tcPr>
          <w:p>
            <w:pPr>
              <w:spacing w:after="0"/>
              <w:rPr>
                <w:sz w:val="20"/>
                <w:szCs w:val="20"/>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46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7"/>
              </w:rPr>
              <w:t>Arrangements</w:t>
            </w:r>
            <w:r>
              <w:rPr>
                <w:rFonts w:ascii="Times New Roman" w:cs="Times New Roman" w:eastAsia="Times New Roman" w:hAnsi="Times New Roman"/>
                <w:sz w:val="18"/>
                <w:szCs w:val="18"/>
                <w:b w:val="1"/>
                <w:bCs w:val="1"/>
                <w:color w:val="auto"/>
                <w:w w:val="97"/>
                <w:vertAlign w:val="superscript"/>
              </w:rPr>
              <w:t>(1)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3"/>
            <w:shd w:val="clear" w:color="auto" w:fill="CCEEFF"/>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691</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820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tables above are reported net of permanently closed locations.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gridSpan w:val="3"/>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6"/>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3"/>
        </w:trPr>
        <w:tc>
          <w:tcPr>
            <w:tcW w:w="4600" w:type="dxa"/>
            <w:vAlign w:val="bottom"/>
          </w:tcPr>
          <w:p>
            <w:pPr>
              <w:spacing w:after="0"/>
              <w:rPr>
                <w:sz w:val="19"/>
                <w:szCs w:val="19"/>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1"/>
        </w:trPr>
        <w:tc>
          <w:tcPr>
            <w:tcW w:w="4600" w:type="dxa"/>
            <w:vAlign w:val="bottom"/>
          </w:tcPr>
          <w:p>
            <w:pPr>
              <w:spacing w:after="0"/>
              <w:rPr>
                <w:sz w:val="17"/>
                <w:szCs w:val="17"/>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110</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3"/>
            <w:shd w:val="clear" w:color="auto" w:fill="CCEEFF"/>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620</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743</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26"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tables above are reported net of permanently closed systems.</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Company’s backlog as of September 30, 2024 and 2023:</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880" w:type="dxa"/>
            <w:vAlign w:val="bottom"/>
          </w:tcPr>
          <w:p>
            <w:pPr>
              <w:spacing w:after="0"/>
              <w:rPr>
                <w:sz w:val="3"/>
                <w:szCs w:val="3"/>
                <w:color w:val="auto"/>
              </w:rPr>
            </w:pPr>
          </w:p>
        </w:tc>
        <w:tc>
          <w:tcPr>
            <w:tcW w:w="212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880" w:type="dxa"/>
            <w:vAlign w:val="bottom"/>
          </w:tcPr>
          <w:p>
            <w:pPr>
              <w:spacing w:after="0"/>
              <w:rPr>
                <w:sz w:val="14"/>
                <w:szCs w:val="14"/>
                <w:color w:val="auto"/>
              </w:rPr>
            </w:pPr>
          </w:p>
        </w:tc>
        <w:tc>
          <w:tcPr>
            <w:tcW w:w="21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880" w:type="dxa"/>
            <w:vAlign w:val="bottom"/>
          </w:tcPr>
          <w:p>
            <w:pPr>
              <w:spacing w:after="0"/>
              <w:rPr>
                <w:sz w:val="16"/>
                <w:szCs w:val="16"/>
                <w:color w:val="auto"/>
              </w:rPr>
            </w:pPr>
          </w:p>
        </w:tc>
        <w:tc>
          <w:tcPr>
            <w:tcW w:w="1240" w:type="dxa"/>
            <w:vAlign w:val="bottom"/>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w:t>
            </w: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8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except number of systems)</w:t>
            </w: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New</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20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New</w:t>
            </w: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New</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20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New</w:t>
            </w:r>
          </w:p>
        </w:tc>
        <w:tc>
          <w:tcPr>
            <w:tcW w:w="180" w:type="dxa"/>
            <w:vAlign w:val="bottom"/>
          </w:tcPr>
          <w:p>
            <w:pPr>
              <w:spacing w:after="0"/>
              <w:rPr>
                <w:sz w:val="16"/>
                <w:szCs w:val="16"/>
                <w:color w:val="auto"/>
              </w:rPr>
            </w:pP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0" w:type="dxa"/>
            <w:vAlign w:val="bottom"/>
          </w:tcPr>
          <w:p>
            <w:pPr>
              <w:spacing w:after="0"/>
              <w:rPr>
                <w:sz w:val="1"/>
                <w:szCs w:val="1"/>
                <w:color w:val="auto"/>
              </w:rPr>
            </w:pPr>
          </w:p>
        </w:tc>
      </w:tr>
      <w:tr>
        <w:trPr>
          <w:trHeight w:val="38"/>
        </w:trPr>
        <w:tc>
          <w:tcPr>
            <w:tcW w:w="28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88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184,394</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0" w:type="dxa"/>
            <w:vAlign w:val="bottom"/>
          </w:tcPr>
          <w:p>
            <w:pPr>
              <w:spacing w:after="0"/>
              <w:rPr>
                <w:sz w:val="1"/>
                <w:szCs w:val="1"/>
                <w:color w:val="auto"/>
              </w:rPr>
            </w:pPr>
          </w:p>
        </w:tc>
      </w:tr>
      <w:tr>
        <w:trPr>
          <w:trHeight w:val="26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Hybrid JRSA</w:t>
            </w:r>
            <w:r>
              <w:rPr>
                <w:rFonts w:ascii="Times New Roman" w:cs="Times New Roman" w:eastAsia="Times New Roman" w:hAnsi="Times New Roman"/>
                <w:sz w:val="23"/>
                <w:szCs w:val="23"/>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68"/>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Traditional JRSA</w:t>
            </w:r>
            <w:r>
              <w:rPr>
                <w:rFonts w:ascii="Times New Roman" w:cs="Times New Roman" w:eastAsia="Times New Roman" w:hAnsi="Times New Roman"/>
                <w:sz w:val="23"/>
                <w:szCs w:val="23"/>
                <w:color w:val="auto"/>
                <w:vertAlign w:val="superscript"/>
              </w:rPr>
              <w:t>(2)(3)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62"/>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2"/>
                <w:szCs w:val="22"/>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221,764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23,625</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263,827</w:t>
            </w:r>
          </w:p>
        </w:tc>
        <w:tc>
          <w:tcPr>
            <w:tcW w:w="1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17" w:lineRule="exact"/>
        <w:rPr>
          <w:rFonts w:ascii="Times New Roman" w:cs="Times New Roman" w:eastAsia="Times New Roman" w:hAnsi="Times New Roman"/>
          <w:sz w:val="14"/>
          <w:szCs w:val="14"/>
          <w:i w:val="1"/>
          <w:iCs w:val="1"/>
          <w:color w:val="auto"/>
        </w:rPr>
      </w:pPr>
    </w:p>
    <w:p>
      <w:pPr>
        <w:jc w:val="both"/>
        <w:ind w:left="340" w:right="20" w:hanging="315"/>
        <w:spacing w:after="0" w:line="257" w:lineRule="auto"/>
        <w:tabs>
          <w:tab w:leader="none" w:pos="332"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consideration owed under traditional joint revenue sharing arrangements is typically a percentage of contingent box office receipts rather than a fixed upfront fee or fixed annual minimum payments. Accordingly, such arrangements do not usually have a dollar value in backlog; however, hybrid joint revenue sharing arrangements typically provide for contracted upfront payments and therefore carry a backlog value based on those payments.</w:t>
      </w:r>
    </w:p>
    <w:p>
      <w:pPr>
        <w:ind w:left="340" w:right="20" w:hanging="315"/>
        <w:spacing w:after="0" w:line="279" w:lineRule="auto"/>
        <w:tabs>
          <w:tab w:leader="none" w:pos="332"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22 IMAX Systems (2023 ― 38) where certain of the Company’s contracts contain options for the customer to elect to upgrade system type or to alter the contract structure (for example, from a joint revenue sharing arrangement to a sale) after signing, but before installation. Current backlog information reflects all known elections.</w:t>
      </w:r>
    </w:p>
    <w:p>
      <w:pPr>
        <w:spacing w:after="0" w:line="316"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backlog reflects the minimum number of commitments for IMAX Systems according to the signed contracts. The dollar value fluctuates depending on the number of new arrangements signed from year-to-year, which adds to backlog, and the installation and acceptance of IMAX Systems and the settlement of contracts, both of which reduce backlog. The dollar value of backlog typically represents the fixed contracted revenue according to the signed IMAX System sale and lease agreements that the Company expects to recognize as revenue upon installation and acceptance of the associated system, as well as an estimate of variable consideration in sales arrangements. The value of backlog does not include amounts allocated to maintenance and extended warranty revenues or revenue from systems in which the Company has an equity interest, operating leases, and long-term conditional theater commitments. The Company believes that the contractual obligations for IMAX System installations that are listed in backlog are valid and binding commitments.</w:t>
      </w:r>
    </w:p>
    <w:p>
      <w:pPr>
        <w:spacing w:after="0" w:line="215"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From time to time, in the normal course of its business, the Company will have customers who are unable to proceed with an IMAX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Company’s backlog by arrangement type and geographic location as of September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gridSpan w:val="3"/>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gridSpan w:val="4"/>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4"/>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4"/>
        </w:trPr>
        <w:tc>
          <w:tcPr>
            <w:tcW w:w="4600" w:type="dxa"/>
            <w:vAlign w:val="bottom"/>
          </w:tcPr>
          <w:p>
            <w:pPr>
              <w:spacing w:after="0"/>
              <w:rPr>
                <w:sz w:val="20"/>
                <w:szCs w:val="20"/>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46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7"/>
              </w:rPr>
              <w:t>Arrangements</w:t>
            </w:r>
            <w:r>
              <w:rPr>
                <w:rFonts w:ascii="Times New Roman" w:cs="Times New Roman" w:eastAsia="Times New Roman" w:hAnsi="Times New Roman"/>
                <w:sz w:val="18"/>
                <w:szCs w:val="18"/>
                <w:b w:val="1"/>
                <w:bCs w:val="1"/>
                <w:color w:val="auto"/>
                <w:w w:val="97"/>
                <w:vertAlign w:val="superscript"/>
              </w:rPr>
              <w:t>(1)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3"/>
            <w:shd w:val="clear" w:color="auto" w:fill="CCEEFF"/>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160</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472 includes 262 new IMAX Laser Systems and 109 upgrades of existing locations to IMAX Laser Systems.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gridSpan w:val="3"/>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gridSpan w:val="4"/>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4"/>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3"/>
        </w:trPr>
        <w:tc>
          <w:tcPr>
            <w:tcW w:w="4600" w:type="dxa"/>
            <w:vAlign w:val="bottom"/>
          </w:tcPr>
          <w:p>
            <w:pPr>
              <w:spacing w:after="0"/>
              <w:rPr>
                <w:sz w:val="19"/>
                <w:szCs w:val="19"/>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1"/>
        </w:trPr>
        <w:tc>
          <w:tcPr>
            <w:tcW w:w="4600" w:type="dxa"/>
            <w:vAlign w:val="bottom"/>
          </w:tcPr>
          <w:p>
            <w:pPr>
              <w:spacing w:after="0"/>
              <w:rPr>
                <w:sz w:val="17"/>
                <w:szCs w:val="17"/>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173</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192</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26"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486 includes 250 new IMAX Laser Systems and 84 upgrades of existing locations to IMAX Laser Systems.</w:t>
      </w:r>
    </w:p>
    <w:p>
      <w:pPr>
        <w:spacing w:after="0" w:line="35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Approximately 31% of IMAX System arrangements in backlog as of September 30, 2024 are scheduled to be installed in international markets excluding Greater China (2023 — 37%). The Company’s system backlog in Greater China represents 54% (2023 — 40%) of its total current backlog, including 194 new IMAX Systems and 60 upgrades (2023 — 183 new and 10 upgrades).</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“Risk Factors – The Company may not convert all of its backlog into revenue and cash flows.” in Part II, Item 1A. of this Form 10-Q.)</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Signings and Installations</w:t>
      </w:r>
    </w:p>
    <w:p>
      <w:pPr>
        <w:spacing w:after="0" w:line="251"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provide detailed information about IMAX System signings and installations for the three and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3"/>
          </w:tcPr>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r>
      <w:tr>
        <w:trPr>
          <w:trHeight w:val="228"/>
        </w:trPr>
        <w:tc>
          <w:tcPr>
            <w:tcW w:w="4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3"/>
          </w:tcPr>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9"/>
                <w:szCs w:val="19"/>
                <w:color w:val="auto"/>
              </w:rPr>
            </w:pPr>
          </w:p>
        </w:tc>
      </w:tr>
      <w:tr>
        <w:trPr>
          <w:trHeight w:val="38"/>
        </w:trPr>
        <w:tc>
          <w:tcPr>
            <w:tcW w:w="46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3"/>
        </w:trPr>
        <w:tc>
          <w:tcPr>
            <w:tcW w:w="5560" w:type="dxa"/>
            <w:vAlign w:val="bottom"/>
            <w:gridSpan w:val="2"/>
          </w:tcPr>
          <w:p>
            <w:pPr>
              <w:ind w:left="52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156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46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 Signings:</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68"/>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6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Traditional JRSA</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62"/>
        </w:trPr>
        <w:tc>
          <w:tcPr>
            <w:tcW w:w="462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Total IMAX System signings</w:t>
            </w:r>
            <w:r>
              <w:rPr>
                <w:rFonts w:ascii="Times New Roman" w:cs="Times New Roman" w:eastAsia="Times New Roman" w:hAnsi="Times New Roman"/>
                <w:sz w:val="23"/>
                <w:szCs w:val="23"/>
                <w:color w:val="auto"/>
                <w:vertAlign w:val="superscript"/>
              </w:rPr>
              <w:t>(2)</w:t>
            </w:r>
          </w:p>
        </w:tc>
        <w:tc>
          <w:tcPr>
            <w:tcW w:w="9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IMAX System upgrades of one and 69 for the three and nine months ended September 30, 2024, respectively (2023 ― six and 18 upgrades, respectively).</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3"/>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r>
      <w:tr>
        <w:trPr>
          <w:trHeight w:val="228"/>
        </w:trPr>
        <w:tc>
          <w:tcPr>
            <w:tcW w:w="4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3"/>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9"/>
                <w:szCs w:val="19"/>
                <w:color w:val="auto"/>
              </w:rPr>
            </w:pPr>
          </w:p>
        </w:tc>
      </w:tr>
      <w:tr>
        <w:trPr>
          <w:trHeight w:val="38"/>
        </w:trPr>
        <w:tc>
          <w:tcPr>
            <w:tcW w:w="46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3"/>
        </w:trPr>
        <w:tc>
          <w:tcPr>
            <w:tcW w:w="5560" w:type="dxa"/>
            <w:vAlign w:val="bottom"/>
            <w:gridSpan w:val="2"/>
          </w:tcPr>
          <w:p>
            <w:pPr>
              <w:ind w:left="52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15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46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8"/>
        </w:trPr>
        <w:tc>
          <w:tcPr>
            <w:tcW w:w="4620" w:type="dxa"/>
            <w:vAlign w:val="bottom"/>
            <w:shd w:val="clear" w:color="auto" w:fill="CCEEFF"/>
          </w:tcPr>
          <w:p>
            <w:pPr>
              <w:ind w:left="20"/>
              <w:spacing w:after="0" w:line="248" w:lineRule="exact"/>
              <w:rPr>
                <w:sz w:val="20"/>
                <w:szCs w:val="20"/>
                <w:color w:val="auto"/>
              </w:rPr>
            </w:pPr>
            <w:r>
              <w:rPr>
                <w:rFonts w:ascii="Times New Roman" w:cs="Times New Roman" w:eastAsia="Times New Roman" w:hAnsi="Times New Roman"/>
                <w:sz w:val="18"/>
                <w:szCs w:val="18"/>
                <w:color w:val="auto"/>
              </w:rPr>
              <w:t>System Installations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8"/>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8"/>
        </w:trPr>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Hybrid JRSA</w:t>
            </w:r>
          </w:p>
        </w:tc>
        <w:tc>
          <w:tcPr>
            <w:tcW w:w="1360" w:type="dxa"/>
            <w:vAlign w:val="bottom"/>
            <w:tcBorders>
              <w:bottom w:val="single" w:sz="8" w:color="CCEEFF"/>
            </w:tcBorders>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2"/>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Traditional JRSA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2"/>
        </w:trPr>
        <w:tc>
          <w:tcPr>
            <w:tcW w:w="556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Total IMAX System installations</w:t>
            </w:r>
            <w:r>
              <w:rPr>
                <w:rFonts w:ascii="Times New Roman" w:cs="Times New Roman" w:eastAsia="Times New Roman" w:hAnsi="Times New Roman"/>
                <w:sz w:val="23"/>
                <w:szCs w:val="23"/>
                <w:color w:val="auto"/>
                <w:vertAlign w:val="superscript"/>
              </w:rPr>
              <w:t>(3)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jc w:val="both"/>
        <w:ind w:left="340" w:right="20" w:hanging="315"/>
        <w:spacing w:after="0" w:line="266" w:lineRule="auto"/>
        <w:tabs>
          <w:tab w:leader="none" w:pos="332"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Two and four IMAX Systems were relocated from their original location for the three and nine months ended September 30, 2024, respectively (2023 ― one and three relocations, respectively). When a system under a sale or sales-type lease arrangement is relocated, the amount of revenue earned by the Company may vary from transaction-to-transaction and is usually less than the amount earned for a new sale. In certain situations when a system is relocated, the original location is upgraded to an IMAX Laser System.</w:t>
      </w:r>
    </w:p>
    <w:p>
      <w:pPr>
        <w:ind w:left="340" w:hanging="315"/>
        <w:spacing w:after="0"/>
        <w:tabs>
          <w:tab w:leader="none" w:pos="34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13"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32 and 43 IMAX System upgrades for the three and nine months ended September 30, 2024, respectively (2023 ―12 and 20 upgrades,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 xml:space="preserve">The Company’s business and future prospects are evaluated by Richard L. Gelfond, its Chief Executive Officer (“CEO”), using a variety of factors and financial and operational metrics including: (i) IMAX box office performance and the securing of new IMAX films and alternative content to be exhibited across the IMAX network; (ii) the signing, installation, and financial performance of IMAX System arrangements, particularly those involving IMAX Laser Systems; (iii) the success of the Company’s investments in business evolution and brand extensions into streaming and consumer technology, and the distribution of live events to the IMAX network; (iv) revenues and gross margins earned by the Company’s segments, as discussed below; (v) consolidated earnings (loss) from operations, as adjusted for unusual items; (vi) the continuing ability to invest in and improve the Company’s technology to enhance the differentiation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versus other out-of-home experiences; (vii) the overall execution, reliability, and consumer acceptance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and (viii) short- and long-term cash flow projections.</w:t>
      </w:r>
    </w:p>
    <w:p>
      <w:pPr>
        <w:spacing w:after="0" w:line="212"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CEO is the Company’s Chief Operating Decision Maker (“CODM”), as such term is defined under United States Generally Accepted Accounting Principles (“U.S. GAAP”). The CODM assesses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has organized its operating segments into the following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disclosed within All Other. (See Note 13 of Notes to Condensed Consolidated Financial Statements in Part I, Item 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2024 and 2023</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Income and Adjusted Net Income Attributable to Common Shareholders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 presents the Company’s net income attributable to common shareholders and the associated per diluted share amounts, as well as adjusted net income attributable to common shareholders and adjusted net income attributable to common shareholders per diluted share for the three months ended September 30, 2024 and 2023:</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spacing w:after="0"/>
              <w:rPr>
                <w:sz w:val="15"/>
                <w:szCs w:val="15"/>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652"/>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22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Per Diluted Share</w:t>
            </w: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31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shareholders</w:t>
            </w:r>
            <w:r>
              <w:rPr>
                <w:rFonts w:ascii="Times New Roman" w:cs="Times New Roman" w:eastAsia="Times New Roman" w:hAnsi="Times New Roman"/>
                <w:sz w:val="23"/>
                <w:szCs w:val="23"/>
                <w:color w:val="auto"/>
                <w:vertAlign w:val="superscript"/>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18,855</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24"/>
                <w:szCs w:val="24"/>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r>
    </w:tbl>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*Refer to “Non-GAAP Financial Measures” for a description of this non-GAAP financial measure and a reconciliation to the most comparable GAAP amount.</w:t>
      </w:r>
    </w:p>
    <w:p>
      <w:pPr>
        <w:spacing w:after="0" w:line="368"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Company’s revenues decreased by $12.4 million, or 12%, while net income increased by $1.9 million or 16%, when compared to the same period in 2023, driven by a lower level of IMAX box office that was more than offset by decreases in costs and expenses resulting from corporate and operational initiatives and timing of expenditures, as discussed below.</w:t>
      </w:r>
    </w:p>
    <w:p>
      <w:pPr>
        <w:spacing w:after="0" w:line="200" w:lineRule="exact"/>
        <w:rPr>
          <w:sz w:val="20"/>
          <w:szCs w:val="20"/>
          <w:color w:val="auto"/>
        </w:rPr>
      </w:pP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Company’s revenues and gross margin decreased by $12.4 million, or 12%, and $11.7 million, or 19%, respectively, when compared to same period in 2023 principally due to a lower level of IMAX box office performance driven by a less favorable mix of film content available to play across the IMAX global network, partially offset by higher IMAX Systems installed under sales arrangements.</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gross margin, and gross margin percentage by reportable segment for the three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8"/>
        </w:trPr>
        <w:tc>
          <w:tcPr>
            <w:tcW w:w="3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Content Solutions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26,407</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42"/>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33,761</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6"/>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88,100</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100,383</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60,168</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62"/>
        </w:trPr>
        <w:tc>
          <w:tcPr>
            <w:tcW w:w="3620" w:type="dxa"/>
            <w:vAlign w:val="bottom"/>
            <w:tcBorders>
              <w:bottom w:val="single" w:sz="8" w:color="CCEEFF"/>
            </w:tcBorders>
          </w:tcPr>
          <w:p>
            <w:pPr>
              <w:ind w:left="20"/>
              <w:spacing w:after="0" w:line="262"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4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4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8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103,896</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51,019</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62,715</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Streaming and Consumer Technology and other ancillary activities.</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Content Solutions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Content Solutions segment results are influenced by the level of commercial success and box office performance of the films and other content released to the IMAX network, as well as other factors including the timing of the releases, the length of play across the IMAX network, the box office share take rates under the Company’s Film Remastering and distribution arrangements, the level of marketing spend associated with the releases in the year, and the fluctuations in the value of foreign currencies versus the U.S. Dollar.</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months ended September 30, 2024, Content Solutions segment revenues and gross margin decreased by $14.1 million, or 32%, and decreased by $10.0 million, or 38%, respectively, when compared to the same period in 2023.</w:t>
      </w:r>
    </w:p>
    <w:p>
      <w:pPr>
        <w:spacing w:after="0" w:line="18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 xml:space="preserve">In the third quarter of 2024, box office generated by IMAX films totaled $239.5 million and represented IMAX’s third highest third quarter box office of all time. The decrease of $107.6 million, or 31%, decrease versus the prior year comparative period of $347.1 million, driven in part by a less favorable mix of content globally which included fewer blockbusters, as well as a challenging compare to the prior year that included over $180 million in box office from </w:t>
      </w:r>
      <w:r>
        <w:rPr>
          <w:rFonts w:ascii="Times New Roman" w:cs="Times New Roman" w:eastAsia="Times New Roman" w:hAnsi="Times New Roman"/>
          <w:sz w:val="18"/>
          <w:szCs w:val="18"/>
          <w:i w:val="1"/>
          <w:iCs w:val="1"/>
          <w:color w:val="auto"/>
        </w:rPr>
        <w:t>Oppenheimer</w:t>
      </w:r>
      <w:r>
        <w:rPr>
          <w:rFonts w:ascii="Times New Roman" w:cs="Times New Roman" w:eastAsia="Times New Roman" w:hAnsi="Times New Roman"/>
          <w:sz w:val="18"/>
          <w:szCs w:val="18"/>
          <w:color w:val="auto"/>
        </w:rPr>
        <w:t>, the Company’s fifth highest grossing title of all time. In the third quarter of 2024, IMAX box office was generated by the exhibition of 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films and other content (37 new and 7 originally released in a prior year), including </w:t>
      </w:r>
      <w:r>
        <w:rPr>
          <w:rFonts w:ascii="Times New Roman" w:cs="Times New Roman" w:eastAsia="Times New Roman" w:hAnsi="Times New Roman"/>
          <w:sz w:val="18"/>
          <w:szCs w:val="18"/>
          <w:i w:val="1"/>
          <w:iCs w:val="1"/>
          <w:color w:val="auto"/>
        </w:rPr>
        <w:t>Deadpool &amp; Wolverine</w:t>
      </w:r>
      <w:r>
        <w:rPr>
          <w:rFonts w:ascii="Times New Roman" w:cs="Times New Roman" w:eastAsia="Times New Roman" w:hAnsi="Times New Roman"/>
          <w:sz w:val="18"/>
          <w:szCs w:val="18"/>
          <w:color w:val="auto"/>
        </w:rPr>
        <w:t>, which generated IMAX box office of over $83 million. In the third quarter of 2023, IMAX box office was generated by the exhibition of 41 films (34 new films and 7 films originally released in a prior year).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 xml:space="preserve">The impact on revenue from the lower box office experienced year over year was partially offset by the revenue earned from higher revenues from alternative content including A24 title release </w:t>
      </w:r>
      <w:r>
        <w:rPr>
          <w:rFonts w:ascii="Times New Roman" w:cs="Times New Roman" w:eastAsia="Times New Roman" w:hAnsi="Times New Roman"/>
          <w:sz w:val="18"/>
          <w:szCs w:val="18"/>
          <w:i w:val="1"/>
          <w:iCs w:val="1"/>
          <w:color w:val="auto"/>
        </w:rPr>
        <w:t>Everything, Everywhere All At Once</w:t>
      </w:r>
      <w:r>
        <w:rPr>
          <w:rFonts w:ascii="Times New Roman" w:cs="Times New Roman" w:eastAsia="Times New Roman" w:hAnsi="Times New Roman"/>
          <w:sz w:val="18"/>
          <w:szCs w:val="18"/>
          <w:color w:val="auto"/>
        </w:rPr>
        <w:t xml:space="preserve">, NBC’s 2024 Paris Olympics Opening Ceremony, Korean concert film </w:t>
      </w:r>
      <w:r>
        <w:rPr>
          <w:rFonts w:ascii="Times New Roman" w:cs="Times New Roman" w:eastAsia="Times New Roman" w:hAnsi="Times New Roman"/>
          <w:sz w:val="18"/>
          <w:szCs w:val="18"/>
          <w:i w:val="1"/>
          <w:iCs w:val="1"/>
          <w:color w:val="auto"/>
        </w:rPr>
        <w:t>IM Hero: The Stadium</w:t>
      </w:r>
      <w:r>
        <w:rPr>
          <w:rFonts w:ascii="Times New Roman" w:cs="Times New Roman" w:eastAsia="Times New Roman" w:hAnsi="Times New Roman"/>
          <w:sz w:val="18"/>
          <w:szCs w:val="18"/>
          <w:color w:val="auto"/>
        </w:rPr>
        <w:t>, and limited release documentaries</w:t>
      </w:r>
      <w:r>
        <w:rPr>
          <w:rFonts w:ascii="Times New Roman" w:cs="Times New Roman" w:eastAsia="Times New Roman" w:hAnsi="Times New Roman"/>
          <w:sz w:val="18"/>
          <w:szCs w:val="18"/>
          <w:i w:val="1"/>
          <w:iCs w:val="1"/>
          <w:color w:val="auto"/>
        </w:rPr>
        <w:t xml:space="preserve"> FLY: The </w:t>
      </w:r>
      <w:r>
        <w:rPr>
          <w:rFonts w:ascii="Times New Roman" w:cs="Times New Roman" w:eastAsia="Times New Roman" w:hAnsi="Times New Roman"/>
          <w:sz w:val="18"/>
          <w:szCs w:val="18"/>
          <w:color w:val="auto"/>
        </w:rPr>
        <w:t>IMAX</w:t>
      </w:r>
      <w:r>
        <w:rPr>
          <w:rFonts w:ascii="Times New Roman" w:cs="Times New Roman" w:eastAsia="Times New Roman" w:hAnsi="Times New Roman"/>
          <w:sz w:val="18"/>
          <w:szCs w:val="18"/>
          <w:i w:val="1"/>
          <w:iCs w:val="1"/>
          <w:color w:val="auto"/>
        </w:rPr>
        <w:t xml:space="preserve"> Experience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Skywalkers: A Love Story The </w:t>
      </w:r>
      <w:r>
        <w:rPr>
          <w:rFonts w:ascii="Times New Roman" w:cs="Times New Roman" w:eastAsia="Times New Roman" w:hAnsi="Times New Roman"/>
          <w:sz w:val="18"/>
          <w:szCs w:val="18"/>
          <w:color w:val="auto"/>
        </w:rPr>
        <w:t>IMAX</w:t>
      </w:r>
      <w:r>
        <w:rPr>
          <w:rFonts w:ascii="Times New Roman" w:cs="Times New Roman" w:eastAsia="Times New Roman" w:hAnsi="Times New Roman"/>
          <w:sz w:val="18"/>
          <w:szCs w:val="18"/>
          <w:i w:val="1"/>
          <w:iCs w:val="1"/>
          <w:color w:val="auto"/>
        </w:rPr>
        <w:t xml:space="preserve"> Experience</w:t>
      </w:r>
      <w:r>
        <w:rPr>
          <w:rFonts w:ascii="Times New Roman" w:cs="Times New Roman" w:eastAsia="Times New Roman" w:hAnsi="Times New Roman"/>
          <w:sz w:val="18"/>
          <w:szCs w:val="18"/>
          <w:color w:val="auto"/>
        </w:rPr>
        <w: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continues to build out its alternative content strategy, including evolving its documentary strategy, as a way to increase utilization and revenues across the IMAX System footprint.</w:t>
      </w:r>
    </w:p>
    <w:p>
      <w:pPr>
        <w:spacing w:after="0" w:line="21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color w:val="auto"/>
        </w:rPr>
        <w:t>In addition to the level of revenues, Content Solutions segment gross margin is influenced by the costs associated with films and other content (documentaries, live, alternative and other) exhibited in the period. The costs associated with films and other content can include production, post-production, distribution and marketing, which are expensed as incurred. For the three months ended September 30, 2024, gross margin percent was 55% compared to 60% in the prior year period, with the decrease being driven primarily by a lower level of IMAX box office year over year.</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Technology Products and Services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primary drivers of Technology Products and Services segment results are the number of IMAX Systems installed in a period, the costs associated with each installation, lease payments tied to the box office performance of the films released to the IMAX network, as well as the associated maintenance contracts that accompany each installation. The average revenue and gross margin per IMAX System under sale and sales-type lease arrangements vary depending upon the number of IMAX System commitments with a single respective exhibitor, an exhibitor’s location, the type of system sold, and various other factors. The installation of IMAX Systems in theaters or multiplexes, which make up a large portion of the Company’s system backlog, depends primarily on the timing of the construction of those projects, which is not under the Company’s control.</w:t>
      </w:r>
    </w:p>
    <w:p>
      <w:pPr>
        <w:spacing w:after="0" w:line="214"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provides information about IMAX Systems installed and the associated revenue recognized at that time, except for traditional joint revenue sharing arrangements as revenue is recognized over the lease term, during the three months ended September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600" w:type="dxa"/>
            <w:vAlign w:val="bottom"/>
          </w:tcPr>
          <w:p>
            <w:pPr>
              <w:spacing w:after="0"/>
              <w:rPr>
                <w:sz w:val="3"/>
                <w:szCs w:val="3"/>
                <w:color w:val="auto"/>
              </w:rPr>
            </w:pPr>
          </w:p>
        </w:tc>
        <w:tc>
          <w:tcPr>
            <w:tcW w:w="20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20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7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Systems</w:t>
            </w:r>
          </w:p>
        </w:tc>
        <w:tc>
          <w:tcPr>
            <w:tcW w:w="300" w:type="dxa"/>
            <w:vAlign w:val="bottom"/>
          </w:tcPr>
          <w:p>
            <w:pPr>
              <w:spacing w:after="0"/>
              <w:rPr>
                <w:sz w:val="15"/>
                <w:szCs w:val="15"/>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 of Systems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IMAX System</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Upgraded IMAX System</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IMAX Systems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20,787</w:t>
            </w:r>
          </w:p>
        </w:tc>
        <w:tc>
          <w:tcPr>
            <w:tcW w:w="14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Included in the table above is one IMAX System which was relocated from its original location (2023 ― one IMAX System). When a system under a sale or sales-type lease arrangement is relocated, the amount of revenue earned by the Company may vary from transaction-to-transaction and is usually less than the amount earned for a new sale. In certain situations when a system is relocated, the original location is upgraded to an IMAX Laser System.</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2024, Technology Products and Services segment revenue increased by $1.8 million , or 3%, while gross margin decreased by $1.8 million, or 5%, when compared to the same period in 2023. These results reflect an increase in system installations under sales arrangements that offset the impact of a lower level of rental revenues, which is box office dependent. Rental revenues decreased by $6.9 million, driven by GBO from joint revenue sharing arrangements which decreased by $35.2 million in the third quarter of 2024 when compared to the prior year comparative period, from $159.5 million to $124.3 million.</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months ended September 30, 2024, gross margin percent was 55% compared to 60% in the prior period with the decrease being driven by the lower level of IMAX box office year over year.</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months ended September 30, 2024, All Other revenue and gross margin decreased by $0.2 million and less than $0.1 million, respectively, when compared to the same period in 2023, principally due to the performance of the Company’s one owned and operated theater.</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Selling, General and Administrative Expenses for the three months ended September 30, 2024 and 2023:</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8"/>
        </w:trPr>
        <w:tc>
          <w:tcPr>
            <w:tcW w:w="6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31,466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36,282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(5,036)</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(4,865)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Selling, general and administrative expenses, excluding share-based</w:t>
            </w:r>
          </w:p>
        </w:tc>
        <w:tc>
          <w:tcPr>
            <w:tcW w:w="28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26,430</w:t>
            </w:r>
          </w:p>
        </w:tc>
        <w:tc>
          <w:tcPr>
            <w:tcW w:w="12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31,417</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5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right="120" w:hanging="315"/>
        <w:spacing w:after="0" w:line="279" w:lineRule="auto"/>
        <w:tabs>
          <w:tab w:leader="none" w:pos="332"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portion of share-based compensation expense is recognized within Costs and Expenses Applicable to Revenues, and Research and Development. (Refer to “Capital Stock and Reserves — Share-Based Compensation” in Note 11 of Notes to Condensed Consolidated Financial Statements in Part I, Item 1.)</w:t>
      </w:r>
    </w:p>
    <w:p>
      <w:pPr>
        <w:spacing w:after="0" w:line="329" w:lineRule="exact"/>
        <w:rPr>
          <w:sz w:val="20"/>
          <w:szCs w:val="20"/>
          <w:color w:val="auto"/>
        </w:rPr>
      </w:pPr>
    </w:p>
    <w:p>
      <w:pPr>
        <w:jc w:val="both"/>
        <w:ind w:firstLine="193"/>
        <w:spacing w:after="0" w:line="278" w:lineRule="auto"/>
        <w:rPr>
          <w:sz w:val="20"/>
          <w:szCs w:val="20"/>
          <w:color w:val="auto"/>
        </w:rPr>
      </w:pPr>
      <w:r>
        <w:rPr>
          <w:rFonts w:ascii="Times New Roman" w:cs="Times New Roman" w:eastAsia="Times New Roman" w:hAnsi="Times New Roman"/>
          <w:sz w:val="17"/>
          <w:szCs w:val="17"/>
          <w:color w:val="auto"/>
        </w:rPr>
        <w:t>For the third quarter of 2024, the lower level of Selling, General and Administrative Expenses year over year is driven by inclusion in the prior year of $3.1 million in transaction expenses associated with the proposal to acquire the outstanding shares in IMAX China. Also contributing to the decline year over year is the timing of expenditures, adjustments in certain estimates relating to payouts in connection with our streaming and consumer technology division as well as management’s continued focus on operational efficiencies, which were partially offset by the impact of higher inflation during the period.</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Company believes that it is a premier global technology platform for awe-inspiring entertainment and events with significant proprietary expertise in digital and film-based projection and sound system component design, engineering, and imaging technology, particularly in laser-based technology. A significant portion of the Company’s research and development efforts have been focused on the IMAX Laser Systems, which the Company believes is capable of illuminating the largest screens in the IMAX network and provides greater brightness and clarity, higher contrast, a wider color gamut and deeper blacks, while consuming less power and lasting longer than existing digital technology, to ensure that the Company continues to provide the highest quality, premier cinematic experience available to consumers. The Company has continued research and development aimed at creating more affordable laser-based solutions with various screen sizes for its commercial multiplex customers.</w:t>
      </w:r>
    </w:p>
    <w:p>
      <w:pPr>
        <w:spacing w:after="0" w:line="21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months ended September 30, 2024, the Company recognized a net cost recovery for its Research and Development activity of $0.3 million, compared to an expense of $2.8 million during the same period in the prior year. In the third quarter of 2024, the Company concluded that technological feasibility of the new IMAX film cameras was achieved resulting in the capitalization of costs incurred.</w:t>
      </w:r>
    </w:p>
    <w:p>
      <w:pPr>
        <w:spacing w:after="0" w:line="204"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Company intends to continue research and development to further evolve its end-to-end technology. This includes bringing connectivity to the Company’s global network to support live and interactive events worldwide; developing new IMAX film cameras and certifying additional digital cameras; further improving its proprietary Film Remastering and distribution process for the delivery of content for both theatrical (including local language content) and home entertainment; and further improving the reliability of its projectors, as well as enhancing the Company’s image and sound quality. Within the Company’s Streaming and Consumer Technology business, there is ongoing research and development in perceptual metrics involving novel measurement and optimization techniques. Investments are also being made to expand existing and/or develop new technologies which are expected to further enhance video quality, delivery, and creation across devices. Furthermore, the Company intends to invest in activities that will capture opportunities to create/build AI and automation into its operations and processes.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Credit Loss (Reversal) Expense, Net</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months ended September 30, 2024, the Company recorded a credit loss reversal of $1.1 million, as compared to a credit loss expense of $0.5 million recognized in the prior year primarily due to increases in collections of the Company’s account receivables, primarily in China, as exhibition partners continue to improve their cash position post pandemic.</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(Refer to Note 3 of Notes to Condensed Consolidated Financial Statements in Part I, Item 1.)</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months ended September 30, 2024, interest expense was $2.2 million, representing an increase of $0.8 million, or 51% when compared to interest expense of $1.5 million during the same period of the prior year primarily due to a higher level of borrowings under the Credit Facility in the current period. For the three months ended September 30, 2024 and 2023, interest income was $0.6 million and $0.7 million, respectively.</w:t>
      </w:r>
    </w:p>
    <w:p>
      <w:pPr>
        <w:sectPr>
          <w:pgSz w:w="11900" w:h="16838" w:orient="portrait"/>
          <w:cols w:equalWidth="0" w:num="1">
            <w:col w:w="11240"/>
          </w:cols>
          <w:pgMar w:left="320" w:top="363"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2024, the Company recorded an income tax expense of $2.4 million (2023 — tax expense of $6.6 million). The Company’s effective tax rate of 13.4% for the three months ended September 30, 2024 differs from the Canadian statutory rate of 26.5% primarily due to tax rate differences in foreign jurisdictions and a decrease in the valuation allowance which was partially offset by an increase in tax reserves, tax return adjustments and withholding taxes. The Company’s effective tax rate of 30.4% for the three months ended September 30, 2023 differs from the Canadian statutory rate of 26.5% primarily due to tax rate differences in foreign jurisdictions which was offset by an increase in the valuation allowance, tax return adjustments and withholding taxes. (Refer to Note 10 of Notes to Condensed Consolidated Financial Statements in Part I, Item 1).</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primarily include the non-controlling interest in the net income or loss of IMAX China, as well as the impact of non-controlling interests in the activity of its Original Film Fund subsidiary. For the three months ended September 30, 2024, the net income attributable to non-controlling interests of the Company’s subsidiaries was $1.4 million, a decrease of $1.6 million, when compared to the same period in 2023, primarily due to lower IMAX box office earned in Greater China.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2024 and 2023</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Income and Adjusted Net Income Attributable to Common Shareholders</w:t>
      </w:r>
    </w:p>
    <w:p>
      <w:pPr>
        <w:spacing w:after="0" w:line="253" w:lineRule="exact"/>
        <w:rPr>
          <w:sz w:val="20"/>
          <w:szCs w:val="20"/>
          <w:color w:val="auto"/>
        </w:rPr>
      </w:pPr>
    </w:p>
    <w:p>
      <w:pPr>
        <w:jc w:val="both"/>
        <w:ind w:firstLine="193"/>
        <w:spacing w:after="0" w:line="234" w:lineRule="auto"/>
        <w:rPr>
          <w:sz w:val="20"/>
          <w:szCs w:val="20"/>
          <w:color w:val="auto"/>
        </w:rPr>
      </w:pPr>
      <w:r>
        <w:rPr>
          <w:rFonts w:ascii="Times New Roman" w:cs="Times New Roman" w:eastAsia="Times New Roman" w:hAnsi="Times New Roman"/>
          <w:sz w:val="18"/>
          <w:szCs w:val="18"/>
          <w:color w:val="auto"/>
        </w:rPr>
        <w:t>The following table presents the Company’s net income attributable to common shareholders and the associated per share amounts, as well as adjusted net income attributable to common shareholders* and adjusted net income attributable to common shareholders per share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for the nine months ended September 30, 2024 and 2023: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spacing w:after="0"/>
              <w:rPr>
                <w:sz w:val="15"/>
                <w:szCs w:val="15"/>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652"/>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22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Per Diluted Share</w:t>
            </w: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4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shareholders*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36,542</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r>
    </w:tbl>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*Refer to “Non-GAAP Financial Measures” for a description of this non-GAAP financial measure and a reconciliation to the most comparable GAAP amount.</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the Company’s revenues and gross margin decreased by $29.3 million or 10% and $28.8 million or 17%, respectively, when compared to same period in 2023, principally due to weaker IMAX box office performance driven in part by the Hollywood strike impact on the film slate and a less favorable mix of content across our global network. These year over year declines were partially offset by the sale of commercial and streaming rights for an IMAX documentary and higher revenues associated with alternative content.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gross margin and gross margin percentage by reportable segment for the nine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8"/>
        </w:trPr>
        <w:tc>
          <w:tcPr>
            <w:tcW w:w="36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Content Solutions</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64,397</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42"/>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100,066</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6"/>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251,237</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136,017</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164,463</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62"/>
        </w:trPr>
        <w:tc>
          <w:tcPr>
            <w:tcW w:w="3660" w:type="dxa"/>
            <w:vAlign w:val="bottom"/>
            <w:tcBorders>
              <w:bottom w:val="single" w:sz="8" w:color="CCEEFF"/>
            </w:tcBorders>
          </w:tcPr>
          <w:p>
            <w:pPr>
              <w:ind w:left="140"/>
              <w:spacing w:after="0" w:line="262"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4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8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259,536</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288,821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141,835</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170,653</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Streaming and Consumer Technology and other ancillary activities.</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Content Solutions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Content Solutions segment results are influenced by the level of commercial success and box office performance of the films and other content released to the IMAX network, as well as other factors including the timing of the releases, the length of play across the IMAX network, the box office share take rates under the Company’s Film Remastering and distribution arrangements, the level of marketing spend associated with the releases in the year, and the fluctuations in the value of foreign currencies versus the U.S. Dollar.</w:t>
      </w:r>
    </w:p>
    <w:p>
      <w:pPr>
        <w:spacing w:after="0" w:line="209" w:lineRule="exact"/>
        <w:rPr>
          <w:sz w:val="20"/>
          <w:szCs w:val="20"/>
          <w:color w:val="auto"/>
        </w:rPr>
      </w:pPr>
    </w:p>
    <w:p>
      <w:pPr>
        <w:jc w:val="both"/>
        <w:ind w:firstLine="193"/>
        <w:spacing w:after="0" w:line="251" w:lineRule="auto"/>
        <w:rPr>
          <w:sz w:val="20"/>
          <w:szCs w:val="20"/>
          <w:color w:val="auto"/>
        </w:rPr>
      </w:pPr>
      <w:r>
        <w:rPr>
          <w:rFonts w:ascii="Times New Roman" w:cs="Times New Roman" w:eastAsia="Times New Roman" w:hAnsi="Times New Roman"/>
          <w:sz w:val="18"/>
          <w:szCs w:val="18"/>
          <w:color w:val="auto"/>
        </w:rPr>
        <w:t xml:space="preserve">For the nine months ended September 30, 2024, Content Solutions segment revenues and gross margin decreased by $8.4 million, or 8%, and $9.7 million, or 15%, respectively, when compared to the same period in 2023. In the nine months ended September 30, 2024, box office generated by IMAX films totaled $696.5 million, a $192.4 million or 22% decrease versus the prior year comparative period of $888.9 million driven in part by the Hollywood strike impact on the film slate and a less favorable mix of content globally which included fewer blockbusters in 2024. During the nine months ended September 30, 2024, IMAX box office was generated by the exhibition of 104 films and other content (83 new and 21 that were originally released in prior years), including </w:t>
      </w:r>
      <w:r>
        <w:rPr>
          <w:rFonts w:ascii="Times New Roman" w:cs="Times New Roman" w:eastAsia="Times New Roman" w:hAnsi="Times New Roman"/>
          <w:sz w:val="18"/>
          <w:szCs w:val="18"/>
          <w:i w:val="1"/>
          <w:iCs w:val="1"/>
          <w:color w:val="auto"/>
        </w:rPr>
        <w:t>Dune: Part Two</w:t>
      </w:r>
      <w:r>
        <w:rPr>
          <w:rFonts w:ascii="Times New Roman" w:cs="Times New Roman" w:eastAsia="Times New Roman" w:hAnsi="Times New Roman"/>
          <w:sz w:val="18"/>
          <w:szCs w:val="18"/>
          <w:color w:val="auto"/>
        </w:rPr>
        <w:t xml:space="preserve"> ($145 million)</w:t>
      </w:r>
      <w:r>
        <w:rPr>
          <w:rFonts w:ascii="Times New Roman" w:cs="Times New Roman" w:eastAsia="Times New Roman" w:hAnsi="Times New Roman"/>
          <w:sz w:val="18"/>
          <w:szCs w:val="18"/>
          <w:i w:val="1"/>
          <w:iCs w:val="1"/>
          <w:color w:val="auto"/>
        </w:rPr>
        <w:t>, Deadpool &amp; Wolverine</w:t>
      </w:r>
      <w:r>
        <w:rPr>
          <w:rFonts w:ascii="Times New Roman" w:cs="Times New Roman" w:eastAsia="Times New Roman" w:hAnsi="Times New Roman"/>
          <w:sz w:val="18"/>
          <w:szCs w:val="18"/>
          <w:color w:val="auto"/>
        </w:rPr>
        <w:t xml:space="preserve"> ($83 million), </w:t>
      </w:r>
      <w:r>
        <w:rPr>
          <w:rFonts w:ascii="Times New Roman" w:cs="Times New Roman" w:eastAsia="Times New Roman" w:hAnsi="Times New Roman"/>
          <w:sz w:val="18"/>
          <w:szCs w:val="18"/>
          <w:i w:val="1"/>
          <w:iCs w:val="1"/>
          <w:color w:val="auto"/>
        </w:rPr>
        <w:t>Godzilla x Kong: The New Empire</w:t>
      </w:r>
      <w:r>
        <w:rPr>
          <w:rFonts w:ascii="Times New Roman" w:cs="Times New Roman" w:eastAsia="Times New Roman" w:hAnsi="Times New Roman"/>
          <w:sz w:val="18"/>
          <w:szCs w:val="18"/>
          <w:color w:val="auto"/>
        </w:rPr>
        <w:t xml:space="preserve"> ($41 million), </w:t>
      </w:r>
      <w:r>
        <w:rPr>
          <w:rFonts w:ascii="Times New Roman" w:cs="Times New Roman" w:eastAsia="Times New Roman" w:hAnsi="Times New Roman"/>
          <w:sz w:val="18"/>
          <w:szCs w:val="18"/>
          <w:i w:val="1"/>
          <w:iCs w:val="1"/>
          <w:color w:val="auto"/>
        </w:rPr>
        <w:t>Inside Out 2</w:t>
      </w:r>
      <w:r>
        <w:rPr>
          <w:rFonts w:ascii="Times New Roman" w:cs="Times New Roman" w:eastAsia="Times New Roman" w:hAnsi="Times New Roman"/>
          <w:sz w:val="18"/>
          <w:szCs w:val="18"/>
          <w:color w:val="auto"/>
        </w:rPr>
        <w:t xml:space="preserve"> ($39 million), and </w:t>
      </w:r>
      <w:r>
        <w:rPr>
          <w:rFonts w:ascii="Times New Roman" w:cs="Times New Roman" w:eastAsia="Times New Roman" w:hAnsi="Times New Roman"/>
          <w:sz w:val="18"/>
          <w:szCs w:val="18"/>
          <w:i w:val="1"/>
          <w:iCs w:val="1"/>
          <w:color w:val="auto"/>
        </w:rPr>
        <w:t>Alien: Romulus</w:t>
      </w:r>
      <w:r>
        <w:rPr>
          <w:rFonts w:ascii="Times New Roman" w:cs="Times New Roman" w:eastAsia="Times New Roman" w:hAnsi="Times New Roman"/>
          <w:sz w:val="18"/>
          <w:szCs w:val="18"/>
          <w:color w:val="auto"/>
        </w:rPr>
        <w:t xml:space="preserve"> ($39 million). Additionally, in the nine months ended September 30, 2024, local language films exhibited across the Company’s global network generated over $114 million in box office, representing 16% of its total box office. Leading local language titles distributed across the IMAX network in the nine months ended September 30, 2024 included the Chinese films </w:t>
      </w:r>
      <w:r>
        <w:rPr>
          <w:rFonts w:ascii="Times New Roman" w:cs="Times New Roman" w:eastAsia="Times New Roman" w:hAnsi="Times New Roman"/>
          <w:sz w:val="18"/>
          <w:szCs w:val="18"/>
          <w:i w:val="1"/>
          <w:iCs w:val="1"/>
          <w:color w:val="auto"/>
        </w:rPr>
        <w:t>Pegasus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Yolo</w:t>
      </w:r>
      <w:r>
        <w:rPr>
          <w:rFonts w:ascii="Times New Roman" w:cs="Times New Roman" w:eastAsia="Times New Roman" w:hAnsi="Times New Roman"/>
          <w:sz w:val="18"/>
          <w:szCs w:val="18"/>
          <w:color w:val="auto"/>
        </w:rPr>
        <w:t xml:space="preserve">, the Japanese film </w:t>
      </w:r>
      <w:r>
        <w:rPr>
          <w:rFonts w:ascii="Times New Roman" w:cs="Times New Roman" w:eastAsia="Times New Roman" w:hAnsi="Times New Roman"/>
          <w:sz w:val="18"/>
          <w:szCs w:val="18"/>
          <w:i w:val="1"/>
          <w:iCs w:val="1"/>
          <w:color w:val="auto"/>
        </w:rPr>
        <w:t>Haikyu!!</w:t>
      </w:r>
      <w:r>
        <w:rPr>
          <w:rFonts w:ascii="Times New Roman" w:cs="Times New Roman" w:eastAsia="Times New Roman" w:hAnsi="Times New Roman"/>
          <w:sz w:val="18"/>
          <w:szCs w:val="18"/>
          <w:color w:val="auto"/>
        </w:rPr>
        <w:t xml:space="preserve">, and the Korean concert film, </w:t>
      </w:r>
      <w:r>
        <w:rPr>
          <w:rFonts w:ascii="Times New Roman" w:cs="Times New Roman" w:eastAsia="Times New Roman" w:hAnsi="Times New Roman"/>
          <w:sz w:val="18"/>
          <w:szCs w:val="18"/>
          <w:i w:val="1"/>
          <w:iCs w:val="1"/>
          <w:color w:val="auto"/>
        </w:rPr>
        <w:t>IM Hero: The Stadium</w:t>
      </w:r>
      <w:r>
        <w:rPr>
          <w:rFonts w:ascii="Times New Roman" w:cs="Times New Roman" w:eastAsia="Times New Roman" w:hAnsi="Times New Roman"/>
          <w:sz w:val="18"/>
          <w:szCs w:val="18"/>
          <w:color w:val="auto"/>
        </w:rPr>
        <w:t xml:space="preserve">. In the nine months ended September 30, 2023, IMAX box office was generated by the exhibition of 84 films (67 new films and 17 films that were originally released in prior year) including </w:t>
      </w:r>
      <w:r>
        <w:rPr>
          <w:rFonts w:ascii="Times New Roman" w:cs="Times New Roman" w:eastAsia="Times New Roman" w:hAnsi="Times New Roman"/>
          <w:sz w:val="18"/>
          <w:szCs w:val="18"/>
          <w:i w:val="1"/>
          <w:iCs w:val="1"/>
          <w:color w:val="auto"/>
        </w:rPr>
        <w:t>Oppenheimer</w:t>
      </w:r>
      <w:r>
        <w:rPr>
          <w:rFonts w:ascii="Times New Roman" w:cs="Times New Roman" w:eastAsia="Times New Roman" w:hAnsi="Times New Roman"/>
          <w:sz w:val="18"/>
          <w:szCs w:val="18"/>
          <w:color w:val="auto"/>
        </w:rPr>
        <w:t xml:space="preserve">, which generated box office of over $180 million, and local language Chinese titles </w:t>
      </w:r>
      <w:r>
        <w:rPr>
          <w:rFonts w:ascii="Times New Roman" w:cs="Times New Roman" w:eastAsia="Times New Roman" w:hAnsi="Times New Roman"/>
          <w:sz w:val="18"/>
          <w:szCs w:val="18"/>
          <w:i w:val="1"/>
          <w:iCs w:val="1"/>
          <w:color w:val="auto"/>
        </w:rPr>
        <w:t>Wandering Earth 2</w:t>
      </w:r>
      <w:r>
        <w:rPr>
          <w:rFonts w:ascii="Times New Roman" w:cs="Times New Roman" w:eastAsia="Times New Roman" w:hAnsi="Times New Roman"/>
          <w:sz w:val="18"/>
          <w:szCs w:val="18"/>
          <w:color w:val="auto"/>
        </w:rPr>
        <w:t xml:space="preserve"> ($49 million) and </w:t>
      </w:r>
      <w:r>
        <w:rPr>
          <w:rFonts w:ascii="Times New Roman" w:cs="Times New Roman" w:eastAsia="Times New Roman" w:hAnsi="Times New Roman"/>
          <w:sz w:val="18"/>
          <w:szCs w:val="18"/>
          <w:i w:val="1"/>
          <w:iCs w:val="1"/>
          <w:color w:val="auto"/>
        </w:rPr>
        <w:t>Creation of the Gods 1: Kingdom of Storms</w:t>
      </w:r>
      <w:r>
        <w:rPr>
          <w:rFonts w:ascii="Times New Roman" w:cs="Times New Roman" w:eastAsia="Times New Roman" w:hAnsi="Times New Roman"/>
          <w:sz w:val="18"/>
          <w:szCs w:val="18"/>
          <w:color w:val="auto"/>
        </w:rPr>
        <w:t xml:space="preserve"> ($32 million).</w:t>
      </w:r>
    </w:p>
    <w:p>
      <w:pPr>
        <w:spacing w:after="0" w:line="217"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 xml:space="preserve">The impact on revenue from the lower box office experienced year over year was partially offset by the revenue earned from the completion of the sale of worldwide rights to the Company’s original documentary,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to Amazon Content during the period as well as from higher revenues from alternative content.</w:t>
      </w:r>
    </w:p>
    <w:p>
      <w:pPr>
        <w:spacing w:after="0" w:line="2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level of revenues, Content Solutions segment gross margin is influenced by the costs associated with films and other content (documentaries, live. alternative and other) exhibited in the period. The costs associated with films and other content can include production, post-production, distribution and marketing, which are expensed as incurred. For the nine months ended September 30, 2024, gross margin percent was 55% compared to 60% in the prior year period. The decrease was due to the lower level of IMAX box office receipts and the higher mix of self-produced content being released during the period, including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Technology Products and Services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primary drivers of Technology Products and Services segment results are the number of IMAX Systems installed in a period, the costs associated with each installation, lease payments tied to the box office performance of the films released to the IMAX network, as well as the associated maintenance contracts that accompany each installation. The average revenue and gross margin per IMAX System under sale and sales-type lease arrangements vary depending upon the number of IMAX System commitments with a single respective exhibitor, an exhibitor’s location, the type of system sold, and various other factors. The installation of IMAX Systems in theaters or multiplexes, which make up a large portion of the Company’s system backlog, depends primarily on the timing of the construction of those projects, which is not under the Company’s control.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provides information about IMAX Systems installed and the associated revenue recognized at that time, except for traditional joint revenue sharing arrangements as revenue is recognized over the lease term, during the nine months ended September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20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20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0"/>
        </w:trPr>
        <w:tc>
          <w:tcPr>
            <w:tcW w:w="460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30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IMAX Systems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22,874</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29,464</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Upgraded IMAX Systems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13,727</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36,601</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Included in the table above are four IMAX Systems which were relocated from its original location (2023 ― two IMAX Systems). When a system under a sale or sales-type lease arrangement is relocated, the amount of revenue earned by the Company may vary from transaction-to-transaction and is usually less than the amount earned for a new sale. In certain situations when a system is relocated, the original location is upgraded to an IMAX Laser System.</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Technology Products and Services segment revenue and gross margin decreased by $19.8 million, or 12%, and $18.7 million, or 19%, respectively, when compared to the same period in the prior year, The lower level of revenue is primarily driven by a lower level of rental revenues which is box office dependent. Rental revenues decreased by $14.1 million, as a result of GBO from joint revenue sharing arrangements which decreased by $85.0 million or 20% in the nine months ended September 30, 2024 when compared to the prior year comparative period, from $435.7 million to $350.7 million.</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nine months ended September 30, 2024 gross margin percent was 54% compared to 58% in the prior period, primarily the result of lower rental revenues, as described above.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nine months ended September 30, 2024, All Other revenue and gross margin decreased by $1.1 million, or 12%, and $0.4 million, or 6%, respectively, when compared to the same period in 2023, which principally reflects the performance of the Company’s one owned and operated theater coupled with the mix in revenue from the Company’s Streaming and Consumer Technology operations.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Selling, General and Administrative Expenses for the nine months ended September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8"/>
        </w:trPr>
        <w:tc>
          <w:tcPr>
            <w:tcW w:w="6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0"/>
        </w:trPr>
        <w:tc>
          <w:tcPr>
            <w:tcW w:w="614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8"/>
                <w:szCs w:val="18"/>
                <w:color w:val="auto"/>
              </w:rPr>
              <w:t>Total Selling, general and administrative expenses, excluding share-based</w:t>
            </w:r>
          </w:p>
        </w:tc>
        <w:tc>
          <w:tcPr>
            <w:tcW w:w="28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84,408</w:t>
            </w:r>
          </w:p>
        </w:tc>
        <w:tc>
          <w:tcPr>
            <w:tcW w:w="12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92,799</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56"/>
        </w:trPr>
        <w:tc>
          <w:tcPr>
            <w:tcW w:w="6140" w:type="dxa"/>
            <w:vAlign w:val="bottom"/>
            <w:tcBorders>
              <w:bottom w:val="single" w:sz="8" w:color="CCEEFF"/>
            </w:tcBorders>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compensation</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86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vMerge w:val="continue"/>
            <w:shd w:val="clear" w:color="auto" w:fill="CCEEFF"/>
          </w:tcPr>
          <w:p>
            <w:pPr>
              <w:spacing w:after="0"/>
              <w:rPr>
                <w:sz w:val="22"/>
                <w:szCs w:val="22"/>
                <w:color w:val="auto"/>
              </w:rPr>
            </w:pPr>
          </w:p>
        </w:tc>
        <w:tc>
          <w:tcPr>
            <w:tcW w:w="74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8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right="20" w:hanging="315"/>
        <w:spacing w:after="0" w:line="269" w:lineRule="auto"/>
        <w:tabs>
          <w:tab w:leader="none" w:pos="332"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portion of share-based compensation expense is recognized within Cost and Expenses Applicable to Revenue, Research and Development and Executive transition costs. (Refer to “Capital Stock and Reserves — Share-Based Compensation” in Note 11 of Notes to Condensed Consolidated Financial Statements in Part I, Item 1.)</w:t>
      </w:r>
    </w:p>
    <w:p>
      <w:pPr>
        <w:ind w:left="340" w:hanging="315"/>
        <w:spacing w:after="0"/>
        <w:tabs>
          <w:tab w:leader="none" w:pos="340"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“Non-GAAP Financial Measures” for a description of this non-GAAP financial measure and a reconciliation to the most comparable GAAP amount.</w:t>
      </w:r>
    </w:p>
    <w:p>
      <w:pPr>
        <w:spacing w:after="0" w:line="355"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the lower level of Selling, General and Administrative Expenses year over year reflects the inclusion in the prior year of $3.1 million in transaction expenses associated with the proposal to acquire the outstanding shares in IMAX China. Also contributing to the decline year over year is the timing of expenditures, adjustments in certain estimates relating to payouts in connection with our streaming and consumer technology division as well as management’s continued focus on operational efficiencies, which were partially offset by the impact of higher inflation during the period.</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Company believes that it is a premier global technology platform for awe-inspiring entertainment and events with significant proprietary expertise in digital and film-based projection and sound system component design, engineering, and imaging technology, particularly in laser-based technology. A significant portion of the Company’s research and development efforts have been focused on the IMAX Laser Systems, which the Company believes is capable of illuminating the largest screens in the IMAX network and provides greater brightness and clarity, higher contrast, a wider color gamut and deeper blacks, while consuming less power and lasting longer than existing digital technology, to ensure that the Company continues to provide the highest quality, premier cinematic experience available to consumers. The Company has continued research and development aimed at creating more affordable laser-based solutions with various screen sizes for its commercial multiplex customers.</w:t>
      </w:r>
    </w:p>
    <w:p>
      <w:pPr>
        <w:spacing w:after="0" w:line="21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Research and Development expenses were $4.0 million, representing a decrease of $3.4 million, or 46%, when compared to Research and Development expenses of $7.4 million during the same period in the prior year. The current period expenses reflects the capitalization of costs related to the development of the new IMAX film cameras upon the conclusion of technological feasibility. This decrease was partially offset by continued investment in other R&amp;D projects including developing new Streaming Technology product offerings.</w:t>
      </w:r>
    </w:p>
    <w:p>
      <w:pPr>
        <w:spacing w:after="0" w:line="20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Company intends to continue research and development to further evolve its end-to-end technology. This includes bringing connectivity to the Company’s global network to support live and interactive events worldwide; developing new IMAX film cameras and certifying additional digital cameras; further improving its proprietary Film Remastering and distribution process for the delivery of content for both theatrical (including local language content) and home entertainment; and further improving the reliability of its projectors, as well as enhancing the Company’s image and sound quality. Within the Company’s Streaming and Consumer Technology business, there is ongoing research and development in perceptual metrics involving novel measurement and optimization techniques. Investments are also being made to expand existing and/or develop new technologies which are expected to further enhance video quality, delivery, and creation across devices. Furthermore, the Company intends to invest in activities that will capture opportunities to create/build AI and automation into its operations and processes.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Credit Loss (Reversal) Expense, Net</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nine months ended September 30, 2024, the Company recorded a credit loss reversal of $1.0 million, as compared to a credit loss expense of $1.6 million recognized in the prior year due to increases in collections of the Company’s account receivables, primarily in China, as exhibition partners continue to improve their cash position post pandemic.</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(Refer to Note 3 of Notes to Condensed Consolidated Financial Statements in Part I, Item 1).</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nine months ended September 30, 2024, interest expense was $6.5 million representing an increase of $1.4 million, or 28% as compared to $5.0 million during the same period of the prior year which primarily reflects a higher average level of outstanding borrowings under the Credit Facility in the current period. For the nine months ended September 30, 2024 and 2023, interest income was $1.7 million and $1.8 million, respectively.</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2024, the Company recorded an income tax expense of $3.5 million (2023 — tax expense of $14.9 million). The Company’s effective tax rate of 12.0% for the nine months ended September 30, 2024 differs from the Canadian statutory rate of 26.5% primarily due to tax rate differences in foreign jurisdictions and a tax benefit related to an internal asset sale during the quarter which was partially offset by an increase in the valuation allowance, tax reserves, tax return adjustments, withholding taxes and a shortfall in tax benefits related to share-based compensation. The Company’s effective tax rate of 33.4% for the nine months ended September 30, 2023 differs from the Canadian statutory rate of 26.5% primarily due to tax rate differences in foreign jurisdictions which was offset by an increase in the valuation allowance, tax return adjustments and withholding taxes.</w:t>
      </w:r>
    </w:p>
    <w:p>
      <w:pPr>
        <w:spacing w:after="0" w:line="21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2024, the Company completed an internal asset sale to more closely align its intellectual property ownership with its operations. In order to effect this internal asset sale, transactions between entities within the group resulted in capital gains for tax purposes. The tax expense related to the capital gain was partially offset by the reversal of the valuation allowance. Net deferred tax assets were also recorded on the transaction, resulting in a net tax benefit of $7.7 million. (Refer to Note 10 of Notes to Condensed Consolidated Financial Statements in Part I, Item 1).</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primarily include the non-controlling interest in the net income or loss of IMAX China, as well as the impact of non-controlling interests in the activity of its Original Film Fund subsidiary. For the nine months ended September 30, 2024, the net income attributable to non-controlling interests of the Company’s subsidiaries was $5.1 million, a decrease of $1.9 million, when compared to the same period in 2023, primarily due to lower IMAX box office earned in Greater China.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NINE MONTHS ENDED SEPTEMBER 30, 2024 AND 2023</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1"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net cash used in or provided by the Company’s operating activities is affected by a number of factors, including: (i) the level of cash collections from customers in respect of existing IMAX System sale and lease agreements, (ii) the amount of upfront payments collected in respect of IMAX System sale and lease agreements in backlog, (iii) the box office performance of films and other content distributed by the Company and/or released to IMAX locations, (iv) the level of inventory purchases and investment in joint revenue sharing arrangements, and (v) the level of the Company’s operating expenses, including expenses for research and development and new business initiatives.</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the Company’s operating activities totaled $59.4 million, as compared to net cash provided by operating activities of $54.6 million in the same period of the prior year, an increase of $4.7 million.</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nine months ended September 30, 2024, the net cash provided by the Company’s operating activities is principally a result of a decrease in Accounts Receivable of $23.0 million which primarily reflects an improvement in the financial health of exhibitor customers, partially offset by $17.9 million of expenditures incurred in connection with the development of film assets and $6.2 million in inventory purchases.</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2023, the net cash provided by the Company’s operating activities was principally a result of revenue growth attributable to the record box office performance of films distributed through the IMAX network, revenue from the installation of IMAX Systems and revenue associated with the amendments and renewals of IMAX Systems arrangements, partially offset by $15.0 million of variable consideration receivables, $13.8 million in inventory purchases, and $14.6 million of expenditures incurred in connection with the development of Film Assets.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1"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investing activities totaled $30.3 million, as compared to $18.7 million in the same period of the prior year. For the nine months ended September 30, 2024, the net cash used in investing activities is primarily driven by $21.7 million invested in equipment to be used as the Company installs systems under joint revenue sharing arrangements with exhibitor customers, $4.8 million of intangible assets principally related to the purchase or continued development of internal use software, and $3.8 million in purchases of property, plant and equipment.</w:t>
      </w:r>
    </w:p>
    <w:p>
      <w:pPr>
        <w:spacing w:after="0" w:line="210"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nine months ended September 30, 2023, the net cash used in investing activities was primarily driven by $10.7 million invested in equipment to be used in the Company’s joint revenue sharing arrangements with exhibitor customers, $2.5 million in purchases of property, plant and equipment, and $5.4 million of intangible assets acquired, principally related to the purchase or continued development of internal use software.</w:t>
      </w:r>
    </w:p>
    <w:p>
      <w:pPr>
        <w:spacing w:after="0" w:line="204"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Based on management’s current operating plan for the remainder of 2024, the Company expects to continue to use cash to deploy additional IMAX Systems under joint revenue sharing arrangements.</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Capital expenditures, including the Company’s investment in joint revenue sharing arrangements, the purchase of property, plant and equipment, the acquisition of other intangible assets, and investments in films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were $48.2 million for the nine months ended September 30, 2024, as compared to $33.2 million for the nine months ended September 30, 2023. The Company expects its investment in joint revenue sharing arrangements to be more heavily weighted toward the remainder of the year which aligns with the historical seasonality of system installations.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financing activities totaled $1.0 million, as compared to $24.3 million in the same period of the prior year. For the nine months ended September 30, 2024, the net cash used in financing activities is principally due to $18.1 million used to repurchase common shares of the Company and IMAX China and $5.0 million in taxes withheld and paid on vested employee stock awards. These uses of cash were mostly offset by $23.0 million in net borrowings under the Company’s revolving credit facilities.</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nine months ended September 30, 2023, net cash used in financing activities was principally due to $12.0 million in net repayments of revolving credit facility borrowings, $4.3 million used to repurchase common shares of the Company, $6.5 million in taxes withheld and paid on vested employee stock awards, and $1.4 million in dividends paid to non-controlling interests.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As of September 30, 2024, the Company’s principal sources of liquidity included: (i) its balances of cash and cash equivalents of $104.5 million; (ii) the anticipated collection of trade accounts receivable, which includes amounts owed under joint revenue sharing arrangements and Film Remastering and distribution agreements with movie studios; (iii) the anticipated collection of financing and variable consideration receivables due in the next 12 months under sale and sales-type lease arrangements for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spacing w:after="0" w:line="214"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 xml:space="preserve">In addition, as of September 30, 2024, the Company had $253.0 million in available borrowing capacity under its Sixth Amended and Restated Credit Agreement with Wells Fargo Bank, National Association (the “Credit Agreement”), $27.1 million in available borrowing capacity under the IMAX (Shanghai) Multimedia Technology Co., Ltd. (“IMAX Shanghai”) revolving credit facility with the Bank of China (the “Bank of China Facility”), and $28.5 million in available borrowing capacity under IMAX Shanghai’s revolving credit facility with HSBC Bank (China) Company Limited, Shanghai Branch (the “HSBC China Facility”). (Refer to “Borrowings — </w:t>
      </w:r>
      <w:r>
        <w:rPr>
          <w:rFonts w:ascii="Times New Roman" w:cs="Times New Roman" w:eastAsia="Times New Roman" w:hAnsi="Times New Roman"/>
          <w:sz w:val="18"/>
          <w:szCs w:val="18"/>
          <w:i w:val="1"/>
          <w:iCs w:val="1"/>
          <w:color w:val="auto"/>
        </w:rPr>
        <w:t>Revolving Credit Facility Borrowings, Net</w:t>
      </w:r>
      <w:r>
        <w:rPr>
          <w:rFonts w:ascii="Times New Roman" w:cs="Times New Roman" w:eastAsia="Times New Roman" w:hAnsi="Times New Roman"/>
          <w:sz w:val="18"/>
          <w:szCs w:val="18"/>
          <w:color w:val="auto"/>
        </w:rPr>
        <w:t>” in Note 6 of Notes to Condensed Consolidated Financial Statements in Part I, Item 1 for a description of the material terms of the Credit Agreement, the Bank of China Facility, and the HSBC Facility.)</w:t>
      </w:r>
    </w:p>
    <w:p>
      <w:pPr>
        <w:spacing w:after="0" w:line="200" w:lineRule="exact"/>
        <w:rPr>
          <w:sz w:val="20"/>
          <w:szCs w:val="20"/>
          <w:color w:val="auto"/>
        </w:rPr>
      </w:pPr>
    </w:p>
    <w:p>
      <w:pPr>
        <w:spacing w:after="0" w:line="255"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Company’s $104.5 million balance of cash and cash equivalents as of September 30, 2024 (December 31, 2023 — $76.2 million) includes $90.8 million in cash held outside of Canada (December 31, 2023 — $68.5 million), of which $49.9 million was held in the People’s Republic of China (the “PRC”) (December 31, 2023 — $30.0 million). Management reassessed its strategy with respect to the most efficient means of deploying the Company’s capital resources globally and determined that historical earnings of certain foreign subsidiaries in excess of amounts required to sustain business operations would no longer be indefinitely reinvested. During the nine months ended September 30, 2024, no historical earnings from a subsidiary in PRC were distributed (2023 — $24.0 million) and, as a result, no foreign withholding taxes were paid to the relevant tax authorities (2023 — $2.4 million). As of September 30, 2024, the Company’s Condensed Consolidated Balance Sheets include a deferred tax liability of $12.5 million for the applicable foreign withholding taxes associated with the remaining balance of non-repatriated historical earnings that will not be indefinitely reinvested outside of Canada. These taxes will become payable upon the repatriation of any such earnings.</w:t>
      </w:r>
    </w:p>
    <w:p>
      <w:pPr>
        <w:spacing w:after="0" w:line="216"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of the Company’s 2023 Form 10-K as supplemented by “Risk Factors” in Part II, Item 1A of this Form 10-Q).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Systems and box office performance of IMAX content are not realized.</w:t>
      </w:r>
    </w:p>
    <w:p>
      <w:pPr>
        <w:spacing w:after="0" w:line="21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Payments to be made by the Company under contractual obligations as of September 30, 2024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Payments Due by Years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
        </w:trPr>
        <w:tc>
          <w:tcPr>
            <w:tcW w:w="39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7"/>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40" w:type="dxa"/>
            <w:vAlign w:val="bottom"/>
          </w:tcPr>
          <w:p>
            <w:pPr>
              <w:spacing w:after="0"/>
              <w:rPr>
                <w:sz w:val="20"/>
                <w:szCs w:val="20"/>
                <w:color w:val="auto"/>
              </w:rPr>
            </w:pP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87"/>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40" w:type="dxa"/>
            <w:vAlign w:val="bottom"/>
          </w:tcPr>
          <w:p>
            <w:pPr>
              <w:spacing w:after="0"/>
              <w:rPr>
                <w:sz w:val="16"/>
                <w:szCs w:val="16"/>
                <w:color w:val="auto"/>
              </w:rPr>
            </w:pPr>
          </w:p>
        </w:tc>
        <w:tc>
          <w:tcPr>
            <w:tcW w:w="11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40" w:type="dxa"/>
            <w:vAlign w:val="bottom"/>
          </w:tcPr>
          <w:p>
            <w:pPr>
              <w:spacing w:after="0"/>
              <w:rPr>
                <w:sz w:val="16"/>
                <w:szCs w:val="16"/>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8"/>
        </w:trPr>
        <w:tc>
          <w:tcPr>
            <w:tcW w:w="39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62"/>
        </w:trPr>
        <w:tc>
          <w:tcPr>
            <w:tcW w:w="394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27,011</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20,181</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6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obligations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42"/>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Facility</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231,151</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230,001</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benefits obligations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6"/>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343,730</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71,474</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263,875</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4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total payments to be made under binding commitments with suppliers and outstanding payments to be made for supplies ordered, but yet to be invoiced.</w:t>
      </w:r>
    </w:p>
    <w:p>
      <w:pPr>
        <w:spacing w:after="0" w:line="17" w:lineRule="exact"/>
        <w:rPr>
          <w:rFonts w:ascii="Times New Roman" w:cs="Times New Roman" w:eastAsia="Times New Roman" w:hAnsi="Times New Roman"/>
          <w:sz w:val="14"/>
          <w:szCs w:val="14"/>
          <w:i w:val="1"/>
          <w:iCs w:val="1"/>
          <w:color w:val="auto"/>
        </w:rPr>
      </w:pPr>
    </w:p>
    <w:p>
      <w:pPr>
        <w:ind w:left="340" w:right="80" w:hanging="315"/>
        <w:spacing w:after="0" w:line="257" w:lineRule="auto"/>
        <w:tabs>
          <w:tab w:leader="none" w:pos="332" w:val="left"/>
        </w:tabs>
        <w:numPr>
          <w:ilvl w:val="0"/>
          <w:numId w:val="4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2025, in accordance with the terms of the SERP, although Mr. Gelfond has not informed the Company that he intends to retire at that time. (See Note 14 of Notes to Condensed Consolidated Financial Statements in Part I, Item 1.)</w:t>
      </w:r>
    </w:p>
    <w:p>
      <w:pPr>
        <w:spacing w:after="0" w:line="2"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4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total minimum annual rental payments due under the Company’s operating leases.</w:t>
      </w:r>
    </w:p>
    <w:p>
      <w:pPr>
        <w:spacing w:after="0" w:line="4" w:lineRule="exact"/>
        <w:rPr>
          <w:rFonts w:ascii="Times New Roman" w:cs="Times New Roman" w:eastAsia="Times New Roman" w:hAnsi="Times New Roman"/>
          <w:sz w:val="14"/>
          <w:szCs w:val="14"/>
          <w:i w:val="1"/>
          <w:iCs w:val="1"/>
          <w:color w:val="auto"/>
        </w:rPr>
      </w:pPr>
    </w:p>
    <w:p>
      <w:pPr>
        <w:ind w:left="340" w:right="260" w:hanging="315"/>
        <w:spacing w:after="0" w:line="256" w:lineRule="auto"/>
        <w:tabs>
          <w:tab w:leader="none" w:pos="332" w:val="left"/>
        </w:tabs>
        <w:numPr>
          <w:ilvl w:val="0"/>
          <w:numId w:val="4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Federal Economic Development Loan will be repayable over 36 months, with repayments estimated to begin in January 2024. (Refer to “Borrowings — Convertible Notes and Other Borrowings, Net” in Note 6 of Notes to Condensed Consolidated Financial Statements in Part I, Item 1.)</w:t>
      </w:r>
    </w:p>
    <w:p>
      <w:pPr>
        <w:ind w:left="340" w:hanging="315"/>
        <w:spacing w:after="0"/>
        <w:tabs>
          <w:tab w:leader="none" w:pos="340" w:val="left"/>
        </w:tabs>
        <w:numPr>
          <w:ilvl w:val="0"/>
          <w:numId w:val="4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Convertible Notes bear interest at a rate of 0.500% per annum on the principal of $230.0 million, payable semi-annually in arrears on April 1 and October 1 of each year. The</w:t>
      </w:r>
    </w:p>
    <w:p>
      <w:pPr>
        <w:spacing w:after="0" w:line="40" w:lineRule="exact"/>
        <w:rPr>
          <w:rFonts w:ascii="Times New Roman" w:cs="Times New Roman" w:eastAsia="Times New Roman" w:hAnsi="Times New Roman"/>
          <w:sz w:val="14"/>
          <w:szCs w:val="14"/>
          <w:i w:val="1"/>
          <w:iCs w:val="1"/>
          <w:color w:val="auto"/>
        </w:rPr>
      </w:pPr>
    </w:p>
    <w:p>
      <w:pPr>
        <w:ind w:left="340" w:right="240"/>
        <w:spacing w:after="0" w:line="299"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Convertible Notes will mature on April 1, 2026, unless earlier repurchased, redeemed or converted. (Refer to “Borrowings — Convertible Notes and Other Borrowings, Net” in Note 6 of Notes to Condensed Consolidated Financial Statements in Part I, Item 1.)</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There are currently no off-balance sheet arrangements that have or are reasonably likely to have a current or future material effect on the Company’s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accordance with U.S. GAAP requires management to make judgments, assumptions, and estimates that affect the amounts reported in the Company’s Condensed Consolidated Financial Statements and accompanying notes. Management’s judgments, assumptions, and estimates are based on historical experience, future expectations, and other factors that are believed to be reasonable as of the date of the Company’s Condensed Consolidated Financial Statements. Actual results may ultimately differ from the Company’s original estimates, as future events and circumstances sometimes do not develop as expected, and the differences may be material. For more information on the Company’s critical accounting estimates refer to the section entitled “Critical Accounting Estimates” in Item 7 “Management’s Discussion and Analysis of Financial Condition and Results of Operations” of the 2023 Form 10-K.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Refer to Note 2 of Notes to Condensed Consolidated Financial Statements in Part I, Item 1 for a discussion of recently issued accounting standards and their impact on the Company’s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p>
    <w:p>
      <w:pPr>
        <w:spacing w:after="0" w:line="204" w:lineRule="exact"/>
        <w:rPr>
          <w:sz w:val="20"/>
          <w:szCs w:val="20"/>
          <w:color w:val="auto"/>
        </w:rPr>
      </w:pPr>
    </w:p>
    <w:p>
      <w:pPr>
        <w:ind w:left="640" w:hanging="440"/>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w:t>
      </w:r>
    </w:p>
    <w:p>
      <w:pPr>
        <w:spacing w:after="0" w:line="248" w:lineRule="exact"/>
        <w:rPr>
          <w:rFonts w:ascii="Times New Roman" w:cs="Times New Roman" w:eastAsia="Times New Roman" w:hAnsi="Times New Roman"/>
          <w:sz w:val="18"/>
          <w:szCs w:val="18"/>
          <w:color w:val="auto"/>
        </w:rPr>
      </w:pPr>
    </w:p>
    <w:p>
      <w:pPr>
        <w:ind w:left="640" w:hanging="440"/>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 per basic and diluted share;</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40" w:hanging="440"/>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w:t>
      </w:r>
    </w:p>
    <w:p>
      <w:pPr>
        <w:spacing w:after="0" w:line="248" w:lineRule="exact"/>
        <w:rPr>
          <w:rFonts w:ascii="Times New Roman" w:cs="Times New Roman" w:eastAsia="Times New Roman" w:hAnsi="Times New Roman"/>
          <w:sz w:val="18"/>
          <w:szCs w:val="18"/>
          <w:color w:val="auto"/>
        </w:rPr>
      </w:pPr>
    </w:p>
    <w:p>
      <w:pPr>
        <w:ind w:left="640" w:hanging="440"/>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per Credit Facility.</w:t>
      </w:r>
    </w:p>
    <w:p>
      <w:pPr>
        <w:spacing w:after="0" w:line="24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Adjusted net income or loss attributable to common shareholders and adjusted net income or loss attributable to common shareholders per basic and diluted share exclude, where applicable: (i) share-based compensation; (ii) realized and unrealized investment gains or losses; (iii) transaction-related expenses; and (iv) restructuring and executive transition costs, as well as the related tax impact of these adjustments.</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believes that these non-GAAP financial measures are important supplemental measures that allow management and users of the Company’s financial statements to view operating trends and analyze controllable operating performance on a comparable basis between periods without the after-tax impact of share-based compensation and certain unusual items included in net income attributable to common shareholders. Although share-based compensation is an important aspect of the Company’s employee and executive compensation packages, it is a non-cash expense and is excluded from certain internal business performance measures.</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and the associated per share amounts to adjusted net income attributable to common shareholders and adjusted net income attributable to common shareholders per diluted share are presented in the tables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share amounts)</w:t>
            </w: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0" w:type="dxa"/>
            <w:vAlign w:val="bottom"/>
          </w:tcPr>
          <w:p>
            <w:pPr>
              <w:spacing w:after="0"/>
              <w:rPr>
                <w:sz w:val="1"/>
                <w:szCs w:val="1"/>
                <w:color w:val="auto"/>
              </w:rPr>
            </w:pP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6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6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42"/>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42"/>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impact on items listed above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40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52,682</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55,535</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(1)  Reflects amounts attributable to common shareholders.</w:t>
            </w: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4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8"/>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0" w:type="dxa"/>
            <w:vAlign w:val="bottom"/>
          </w:tcPr>
          <w:p>
            <w:pPr>
              <w:spacing w:after="0"/>
              <w:rPr>
                <w:sz w:val="1"/>
                <w:szCs w:val="1"/>
                <w:color w:val="auto"/>
              </w:rPr>
            </w:pP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36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6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42"/>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42"/>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executive transition costs</w:t>
            </w: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impact on items listed above</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62"/>
        </w:trPr>
        <w:tc>
          <w:tcPr>
            <w:tcW w:w="540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42,790</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54,424</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53,628</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4"/>
          <w:szCs w:val="14"/>
          <w:i w:val="1"/>
          <w:iCs w:val="1"/>
          <w:color w:val="auto"/>
        </w:rPr>
        <w:t>(1)</w:t>
        <w:tab/>
        <w:t>Reflects amounts attributable to common shareholders.</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In addition to the non-GAAP financial measures discussed above, management also uses “EBITDA,” as such term is defined in the Credit Agreement, and which is referred to herein as “Adjusted EBITDA per Credit Facility.”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21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transaction-related expenses; (iv) restructuring and executive transition costs; and (v) write- downs, net of recoveries, including asset impairments and credit loss expense.</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which is the most directly comparable GAAP measure, to EBITDA and Adjusted EBITDA per Credit Facility are presented in the tables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gridSpan w:val="6"/>
          </w:tcPr>
          <w:p>
            <w:pPr>
              <w:jc w:val="center"/>
              <w:ind w:left="916"/>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2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260" w:type="dxa"/>
            <w:vAlign w:val="bottom"/>
          </w:tcPr>
          <w:p>
            <w:pPr>
              <w:spacing w:after="0"/>
              <w:rPr>
                <w:sz w:val="15"/>
                <w:szCs w:val="15"/>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220" w:type="dxa"/>
            <w:vAlign w:val="bottom"/>
          </w:tcPr>
          <w:p>
            <w:pPr>
              <w:spacing w:after="0"/>
              <w:rPr>
                <w:sz w:val="15"/>
                <w:szCs w:val="15"/>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Less:</w:t>
            </w: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Attributable to Common</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Common</w:t>
            </w:r>
          </w:p>
        </w:tc>
        <w:tc>
          <w:tcPr>
            <w:tcW w:w="22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1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7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340" w:type="dxa"/>
            <w:vAlign w:val="bottom"/>
          </w:tcPr>
          <w:p>
            <w:pPr>
              <w:spacing w:after="0"/>
              <w:rPr>
                <w:sz w:val="17"/>
                <w:szCs w:val="17"/>
                <w:color w:val="auto"/>
              </w:rPr>
            </w:pP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25"/>
        </w:trPr>
        <w:tc>
          <w:tcPr>
            <w:tcW w:w="6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income</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0" w:type="dxa"/>
            <w:vAlign w:val="bottom"/>
          </w:tcPr>
          <w:p>
            <w:pPr>
              <w:spacing w:after="0"/>
              <w:rPr>
                <w:sz w:val="1"/>
                <w:szCs w:val="1"/>
                <w:color w:val="auto"/>
              </w:rPr>
            </w:pPr>
          </w:p>
        </w:tc>
      </w:tr>
      <w:tr>
        <w:trPr>
          <w:trHeight w:val="242"/>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42"/>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0" w:type="dxa"/>
            <w:vAlign w:val="bottom"/>
          </w:tcPr>
          <w:p>
            <w:pPr>
              <w:spacing w:after="0"/>
              <w:rPr>
                <w:sz w:val="1"/>
                <w:szCs w:val="1"/>
                <w:color w:val="auto"/>
              </w:rPr>
            </w:pPr>
          </w:p>
        </w:tc>
      </w:tr>
      <w:tr>
        <w:trPr>
          <w:trHeight w:val="268"/>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42"/>
        </w:trPr>
        <w:tc>
          <w:tcPr>
            <w:tcW w:w="6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30,955</w:t>
            </w:r>
          </w:p>
        </w:tc>
        <w:tc>
          <w:tcPr>
            <w:tcW w:w="0" w:type="dxa"/>
            <w:vAlign w:val="bottom"/>
          </w:tcPr>
          <w:p>
            <w:pPr>
              <w:spacing w:after="0"/>
              <w:rPr>
                <w:sz w:val="1"/>
                <w:szCs w:val="1"/>
                <w:color w:val="auto"/>
              </w:rPr>
            </w:pPr>
          </w:p>
        </w:tc>
      </w:tr>
      <w:tr>
        <w:trPr>
          <w:trHeight w:val="242"/>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2"/>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6"/>
        </w:trPr>
        <w:tc>
          <w:tcPr>
            <w:tcW w:w="6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35,570</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4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80" w:type="dxa"/>
            <w:vAlign w:val="bottom"/>
            <w:gridSpan w:val="6"/>
          </w:tcPr>
          <w:p>
            <w:pPr>
              <w:jc w:val="center"/>
              <w:ind w:left="895"/>
              <w:spacing w:after="0"/>
              <w:rPr>
                <w:sz w:val="20"/>
                <w:szCs w:val="20"/>
                <w:color w:val="auto"/>
              </w:rPr>
            </w:pPr>
            <w:r>
              <w:rPr>
                <w:rFonts w:ascii="Times New Roman" w:cs="Times New Roman" w:eastAsia="Times New Roman" w:hAnsi="Times New Roman"/>
                <w:sz w:val="14"/>
                <w:szCs w:val="14"/>
                <w:b w:val="1"/>
                <w:bCs w:val="1"/>
                <w:color w:val="auto"/>
              </w:rPr>
              <w:t>Twelve Months Ended September 30, 2024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2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260" w:type="dxa"/>
            <w:vAlign w:val="bottom"/>
          </w:tcPr>
          <w:p>
            <w:pPr>
              <w:spacing w:after="0"/>
              <w:rPr>
                <w:sz w:val="15"/>
                <w:szCs w:val="15"/>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220" w:type="dxa"/>
            <w:vAlign w:val="bottom"/>
          </w:tcPr>
          <w:p>
            <w:pPr>
              <w:spacing w:after="0"/>
              <w:rPr>
                <w:sz w:val="15"/>
                <w:szCs w:val="15"/>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Less:</w:t>
            </w: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Attributable to Common</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Common</w:t>
            </w:r>
          </w:p>
        </w:tc>
        <w:tc>
          <w:tcPr>
            <w:tcW w:w="22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1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7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380" w:type="dxa"/>
            <w:vAlign w:val="bottom"/>
          </w:tcPr>
          <w:p>
            <w:pPr>
              <w:spacing w:after="0"/>
              <w:rPr>
                <w:sz w:val="17"/>
                <w:szCs w:val="17"/>
                <w:color w:val="auto"/>
              </w:rPr>
            </w:pPr>
          </w:p>
        </w:tc>
        <w:tc>
          <w:tcPr>
            <w:tcW w:w="11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8"/>
              </w:rPr>
              <w:t>Shareholders</w:t>
            </w:r>
          </w:p>
        </w:tc>
        <w:tc>
          <w:tcPr>
            <w:tcW w:w="0" w:type="dxa"/>
            <w:vAlign w:val="bottom"/>
          </w:tcPr>
          <w:p>
            <w:pPr>
              <w:spacing w:after="0"/>
              <w:rPr>
                <w:sz w:val="1"/>
                <w:szCs w:val="1"/>
                <w:color w:val="auto"/>
              </w:rPr>
            </w:pPr>
          </w:p>
        </w:tc>
      </w:tr>
      <w:tr>
        <w:trPr>
          <w:trHeight w:val="25"/>
        </w:trPr>
        <w:tc>
          <w:tcPr>
            <w:tcW w:w="6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income</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23,293</w:t>
            </w:r>
          </w:p>
        </w:tc>
        <w:tc>
          <w:tcPr>
            <w:tcW w:w="0" w:type="dxa"/>
            <w:vAlign w:val="bottom"/>
          </w:tcPr>
          <w:p>
            <w:pPr>
              <w:spacing w:after="0"/>
              <w:rPr>
                <w:sz w:val="1"/>
                <w:szCs w:val="1"/>
                <w:color w:val="auto"/>
              </w:rPr>
            </w:pPr>
          </w:p>
        </w:tc>
      </w:tr>
      <w:tr>
        <w:trPr>
          <w:trHeight w:val="242"/>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2"/>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57,337</w:t>
            </w:r>
          </w:p>
        </w:tc>
        <w:tc>
          <w:tcPr>
            <w:tcW w:w="0" w:type="dxa"/>
            <w:vAlign w:val="bottom"/>
          </w:tcPr>
          <w:p>
            <w:pPr>
              <w:spacing w:after="0"/>
              <w:rPr>
                <w:sz w:val="1"/>
                <w:szCs w:val="1"/>
                <w:color w:val="auto"/>
              </w:rPr>
            </w:pPr>
          </w:p>
        </w:tc>
      </w:tr>
      <w:tr>
        <w:trPr>
          <w:trHeight w:val="268"/>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42"/>
        </w:trPr>
        <w:tc>
          <w:tcPr>
            <w:tcW w:w="62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87,090</w:t>
            </w:r>
          </w:p>
        </w:tc>
        <w:tc>
          <w:tcPr>
            <w:tcW w:w="0" w:type="dxa"/>
            <w:vAlign w:val="bottom"/>
          </w:tcPr>
          <w:p>
            <w:pPr>
              <w:spacing w:after="0"/>
              <w:rPr>
                <w:sz w:val="1"/>
                <w:szCs w:val="1"/>
                <w:color w:val="auto"/>
              </w:rPr>
            </w:pPr>
          </w:p>
        </w:tc>
      </w:tr>
      <w:tr>
        <w:trPr>
          <w:trHeight w:val="242"/>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23,208</w:t>
            </w: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2"/>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executive transition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42"/>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6"/>
        </w:trPr>
        <w:tc>
          <w:tcPr>
            <w:tcW w:w="6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126,976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113,554</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4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00" w:firstLine="193"/>
        <w:spacing w:after="0" w:line="256" w:lineRule="auto"/>
        <w:rPr>
          <w:sz w:val="20"/>
          <w:szCs w:val="20"/>
          <w:color w:val="auto"/>
        </w:rPr>
      </w:pPr>
      <w:r>
        <w:rPr>
          <w:rFonts w:ascii="Times New Roman" w:cs="Times New Roman" w:eastAsia="Times New Roman" w:hAnsi="Times New Roman"/>
          <w:sz w:val="18"/>
          <w:szCs w:val="18"/>
          <w:color w:val="auto"/>
        </w:rPr>
        <w:t>The Company also adjusts Selling, General and Administrative Expenses to exclude a portion of share-based compensation and related payroll taxes. Management uses non-U.S. GAAP and other financial measures such as this, internally for financial and operational decision-making and as a means to evaluate period-to-period comparisons. IMAX believes that this non-U.S. GAAP measure provides useful information about operating results, enhances the overall understanding of past financial performance and future prospects, and allows for greater transparency with respect to key metrics used by management and its financial and operational decision making.</w:t>
      </w:r>
    </w:p>
    <w:p>
      <w:pPr>
        <w:spacing w:after="0" w:line="210" w:lineRule="exact"/>
        <w:rPr>
          <w:sz w:val="20"/>
          <w:szCs w:val="20"/>
          <w:color w:val="auto"/>
        </w:rPr>
      </w:pPr>
    </w:p>
    <w:p>
      <w:pPr>
        <w:jc w:val="both"/>
        <w:ind w:right="100" w:firstLine="193"/>
        <w:spacing w:after="0" w:line="279" w:lineRule="auto"/>
        <w:rPr>
          <w:sz w:val="20"/>
          <w:szCs w:val="20"/>
          <w:color w:val="auto"/>
        </w:rPr>
      </w:pPr>
      <w:r>
        <w:rPr>
          <w:rFonts w:ascii="Times New Roman" w:cs="Times New Roman" w:eastAsia="Times New Roman" w:hAnsi="Times New Roman"/>
          <w:sz w:val="18"/>
          <w:szCs w:val="18"/>
          <w:color w:val="auto"/>
        </w:rPr>
        <w:t>A reconciliation of Selling, General and Administrative Expenses, the most directly comparable U.S. GAAP measure presented in the Condensed Consolidated Statement of Operations in Part I, Item 1, to Adjusted SG&amp;A, is presented in the table below.</w:t>
      </w: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06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8"/>
        </w:trPr>
        <w:tc>
          <w:tcPr>
            <w:tcW w:w="6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8"/>
        </w:trPr>
        <w:tc>
          <w:tcPr>
            <w:tcW w:w="62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31,466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36,282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109,336</w:t>
            </w:r>
          </w:p>
        </w:tc>
        <w:tc>
          <w:tcPr>
            <w:tcW w:w="0" w:type="dxa"/>
            <w:vAlign w:val="bottom"/>
          </w:tcPr>
          <w:p>
            <w:pPr>
              <w:spacing w:after="0"/>
              <w:rPr>
                <w:sz w:val="1"/>
                <w:szCs w:val="1"/>
                <w:color w:val="auto"/>
              </w:rPr>
            </w:pPr>
          </w:p>
        </w:tc>
      </w:tr>
      <w:tr>
        <w:trPr>
          <w:trHeight w:val="242"/>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p>
        </w:tc>
        <w:tc>
          <w:tcPr>
            <w:tcW w:w="280" w:type="dxa"/>
            <w:vAlign w:val="bottom"/>
          </w:tcPr>
          <w:p>
            <w:pPr>
              <w:spacing w:after="0"/>
              <w:rPr>
                <w:sz w:val="21"/>
                <w:szCs w:val="21"/>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(5,036)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(4,865)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0" w:type="dxa"/>
            <w:vAlign w:val="bottom"/>
          </w:tcPr>
          <w:p>
            <w:pPr>
              <w:spacing w:after="0"/>
              <w:rPr>
                <w:sz w:val="1"/>
                <w:szCs w:val="1"/>
                <w:color w:val="auto"/>
              </w:rPr>
            </w:pPr>
          </w:p>
        </w:tc>
      </w:tr>
      <w:tr>
        <w:trPr>
          <w:trHeight w:val="26"/>
        </w:trPr>
        <w:tc>
          <w:tcPr>
            <w:tcW w:w="6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Selling, general and administrative expenses, excluding share-based</w:t>
            </w:r>
          </w:p>
        </w:tc>
        <w:tc>
          <w:tcPr>
            <w:tcW w:w="28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26,430</w:t>
            </w:r>
          </w:p>
        </w:tc>
        <w:tc>
          <w:tcPr>
            <w:tcW w:w="14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31,417</w:t>
            </w:r>
          </w:p>
        </w:tc>
        <w:tc>
          <w:tcPr>
            <w:tcW w:w="14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84,408</w:t>
            </w:r>
          </w:p>
        </w:tc>
        <w:tc>
          <w:tcPr>
            <w:tcW w:w="1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92,799</w:t>
            </w:r>
          </w:p>
        </w:tc>
        <w:tc>
          <w:tcPr>
            <w:tcW w:w="0" w:type="dxa"/>
            <w:vAlign w:val="bottom"/>
          </w:tcPr>
          <w:p>
            <w:pPr>
              <w:spacing w:after="0"/>
              <w:rPr>
                <w:sz w:val="1"/>
                <w:szCs w:val="1"/>
                <w:color w:val="auto"/>
              </w:rPr>
            </w:pPr>
          </w:p>
        </w:tc>
      </w:tr>
      <w:tr>
        <w:trPr>
          <w:trHeight w:val="25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vMerge w:val="continue"/>
            <w:shd w:val="clear" w:color="auto" w:fill="CCEEFF"/>
          </w:tcPr>
          <w:p>
            <w:pPr>
              <w:spacing w:after="0"/>
              <w:rPr>
                <w:sz w:val="21"/>
                <w:szCs w:val="21"/>
                <w:color w:val="auto"/>
              </w:rPr>
            </w:pPr>
          </w:p>
        </w:tc>
        <w:tc>
          <w:tcPr>
            <w:tcW w:w="6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both"/>
        <w:ind w:right="100" w:firstLine="193"/>
        <w:spacing w:after="0" w:line="263" w:lineRule="auto"/>
        <w:rPr>
          <w:sz w:val="20"/>
          <w:szCs w:val="20"/>
          <w:color w:val="auto"/>
        </w:rPr>
      </w:pPr>
      <w:r>
        <w:rPr>
          <w:rFonts w:ascii="Times New Roman" w:cs="Times New Roman" w:eastAsia="Times New Roman" w:hAnsi="Times New Roman"/>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spacing w:after="0" w:line="20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53" w:lineRule="exact"/>
        <w:rPr>
          <w:sz w:val="20"/>
          <w:szCs w:val="20"/>
          <w:color w:val="auto"/>
        </w:rPr>
      </w:pPr>
    </w:p>
    <w:p>
      <w:pPr>
        <w:jc w:val="both"/>
        <w:ind w:right="100" w:firstLine="193"/>
        <w:spacing w:after="0" w:line="258"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Chinese Renminbi (“RMB”). The Company does not use financial instruments for trading or other speculative purposes.</w:t>
      </w:r>
    </w:p>
    <w:p>
      <w:pPr>
        <w:sectPr>
          <w:pgSz w:w="11900" w:h="16838" w:orient="portrait"/>
          <w:cols w:equalWidth="0" w:num="1">
            <w:col w:w="11340"/>
          </w:cols>
          <w:pgMar w:left="320" w:top="36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363" w:right="2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89 different countries, and therefore unfavorable exchange rates between applicable local currencies and the U.S. Dollar could have an impact on the GBO generated by the Company’s exhibitor customers and its revenues. The Company has incoming cash flows from its revenue generating 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British Pound Sterling, Euros and Canadian Dollars.</w:t>
      </w:r>
    </w:p>
    <w:p>
      <w:pPr>
        <w:spacing w:after="0" w:line="212"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204"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Certain of the Company’s PRC subsidiaries held approximately RMB 349.3 million ($49.9 million) in cash and cash equivalents as of September 30, 2024 (December 31, 2023 — RMB 213.0 million or $30.0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(Refer to “Risk Factors – The Company faces risks in connection with its significant presence in China and the continued expansion of its business there” in Part II, Item 1A. of this Form 10-Q.)</w:t>
      </w:r>
    </w:p>
    <w:p>
      <w:pPr>
        <w:spacing w:after="0" w:line="21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 also monitors the macroeconomic environment as part of its continuous assessment of credit risk. This includes consideration of developments in the U.S. and global banking sectors following recent banking collapses, which informs management’s assessment of any potential direct and indirect impacts on the Company. There are no concentrations of cash and cash equivalents in any regional banking institutions, such that management considers there to be any material risk in this regard.</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recorded foreign exchange net losses of $0.3 million and $0.8 million, respectively, resulting from changes in exchange rates related to foreign currency denominated monetary assets and liabilities (2023 — net losses of $0.2 million and $0.8 million, respectively).</w:t>
      </w:r>
    </w:p>
    <w:p>
      <w:pPr>
        <w:spacing w:after="0" w:line="204"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September 30, 2024, with settlement dates throughout 2024 and 2025.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Income (Loss) and reclassified to the Condensed Consolidated Statements of Operations when the forecasted transaction occurs. Any ineffective portion is recognized immediately in the Condensed Consolidated Statements of Operations.</w:t>
      </w:r>
    </w:p>
    <w:p>
      <w:pPr>
        <w:spacing w:after="0" w:line="21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notional value of foreign currency cash flow hedging instruments that qualify for hedge accounting as of September 30, 2024 was $31.8 million (December 31, 2023 — $40.6 million). Gains of $0.3 million and losses of $0.9 million were recorded to Other Comprehensive Income with respect to the change in fair value of these contracts for the three and nine months ended September 30, 2024, respectively (2023 — losses of $1.0 million and $0.2 million, respectively). Losses of $0.2 million and $0.2 million were reclassified from Accumulated Other Comprehensive Loss to Selling, General and Administrative Expenses for the three and nine months ended September 30, 2024, respectively (2023 — loss of $0.2 million and $0.6 million, respectively). The Company currently does not hold any derivatives which are not designated as hedging instruments.</w:t>
      </w:r>
    </w:p>
    <w:p>
      <w:pPr>
        <w:spacing w:after="0" w:line="21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w:t>
      </w:r>
      <w:r>
        <w:rPr>
          <w:rFonts w:ascii="Times New Roman" w:cs="Times New Roman" w:eastAsia="Times New Roman" w:hAnsi="Times New Roman"/>
          <w:sz w:val="18"/>
          <w:szCs w:val="18"/>
          <w:b w:val="1"/>
          <w:bCs w:val="1"/>
          <w:color w:val="auto"/>
        </w:rPr>
        <w: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As of September 30, 2024, the Company’s Financing Receivables and working capital items denominated in Canadian Dollars, RMB, Japanese Yen, Euros and other foreign currencies translated into U.S. Dollars was $161.4 million. Assuming a 10% appreciation or depreciation in foreign currency exchange rates from the quoted foreign currency exchange rates as of September 30, 2024, the potential change in the fair value of foreign currency-denominated financing receivables and working capital items would have been $16.1 million. A significant portion of the Company’s Selling, General, and Administrative Expenses is denominated in Canadian Dollars. Assuming a 1% change appreciation or depreciation in foreign currency exchange rates as of September 30, 2024, the potential change in the amount of Selling, General, and Administrative Expenses would be $0.3 million.</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Interest Rate Risk Management</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Company’s earnings may also be affected by changes in interest rates due to the impact those changes have on its interest income from cash, and its interest expense from variable-rate borrowings that may be made under the Credit Facility.</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2024, the Company had drawn down $47.0 million on its Credit Facility (December 31, 2023 — $24.0 million), and $nil on its HSBC China Facility (December 31, 2023 — $nil) and $nil on its Bank of China Facility (December 31, 2023 — nil), which are subject to variable effective interest rates.</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had variable rate debt instruments representing 10.0% and 5.0% of its total liabilities as of September 30, 2024 and December 31, 2023, respectively. If the interest rates available to the Company increased by 10%, the Company’s interest expense would increase by $0.3 million and interest income from cash would increase by $0.1 million. These amounts are determined by considering the impact of the hypothetical interest rates on the Company’s variable rate debt and cash balances as of September 30, 2024.</w:t>
      </w:r>
    </w:p>
    <w:p>
      <w:pPr>
        <w:spacing w:after="0" w:line="2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Company’s management, with the participation of its CEO and its CFO, has evaluated the effectiveness of the Company’s “disclosure controls and procedures” (as defined in the Securities Exchange Act of 1934 Rules 13a-15(e) or 15d-15(e)) as of September 30, 2024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which occurred during the three months ended September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Refer to Note 7 of Notes to Condensed Consolidated Financial Statements in Part I, Item 1 for information regarding legal proceedings involving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This Form 10-Q should be read together with, and supplement, the risk factors in Item 1A “Risk Factors” in the Company’s 2023 Form 10-K, which describes various risks and uncertainties to which the Company is or may become subject. The risk factors described below update certain risk factors included in the Company’s 2023 Form 10-K in light of recent events. The below risk factors and the risk factors included in the Company’s 2023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risks in connection with its significant presence in China and the continued expansion of its business there.</w:t>
      </w:r>
    </w:p>
    <w:p>
      <w:pPr>
        <w:spacing w:after="0" w:line="253" w:lineRule="exact"/>
        <w:rPr>
          <w:sz w:val="20"/>
          <w:szCs w:val="20"/>
          <w:color w:val="auto"/>
        </w:rPr>
      </w:pPr>
    </w:p>
    <w:p>
      <w:pPr>
        <w:jc w:val="both"/>
        <w:ind w:firstLine="219"/>
        <w:spacing w:after="0" w:line="278" w:lineRule="auto"/>
        <w:rPr>
          <w:sz w:val="20"/>
          <w:szCs w:val="20"/>
          <w:color w:val="auto"/>
        </w:rPr>
      </w:pPr>
      <w:r>
        <w:rPr>
          <w:rFonts w:ascii="Times New Roman" w:cs="Times New Roman" w:eastAsia="Times New Roman" w:hAnsi="Times New Roman"/>
          <w:sz w:val="17"/>
          <w:szCs w:val="17"/>
          <w:color w:val="auto"/>
        </w:rPr>
        <w:t>Greater China is the Company’s largest market by revenue, with approximately 25% of overall revenues generated from its Greater China operations for the nine months ended September 30, 2024. As of September 30, 2024, the Company had 808 IMAX Systems operating in Greater China with an additional 254 systems in backlog, which represent 54% of the Company’s current backlog. Of the IMAX Systems currently scheduled to be installed in Greater China, 80% are under joint revenue sharing arrangements, which further increases the Company’s ongoing exposure to box office performance in this market.</w:t>
      </w:r>
    </w:p>
    <w:p>
      <w:pPr>
        <w:spacing w:after="0" w:line="193" w:lineRule="exact"/>
        <w:rPr>
          <w:sz w:val="20"/>
          <w:szCs w:val="20"/>
          <w:color w:val="auto"/>
        </w:rPr>
      </w:pPr>
    </w:p>
    <w:p>
      <w:pPr>
        <w:jc w:val="both"/>
        <w:ind w:firstLine="219"/>
        <w:spacing w:after="0" w:line="271" w:lineRule="auto"/>
        <w:rPr>
          <w:sz w:val="20"/>
          <w:szCs w:val="20"/>
          <w:color w:val="auto"/>
        </w:rPr>
      </w:pPr>
      <w:r>
        <w:rPr>
          <w:rFonts w:ascii="Times New Roman" w:cs="Times New Roman" w:eastAsia="Times New Roman" w:hAnsi="Times New Roman"/>
          <w:sz w:val="17"/>
          <w:szCs w:val="17"/>
          <w:color w:val="auto"/>
        </w:rPr>
        <w:t>The China market faces a number of risks, including a continued slow recovery from the COVID-19 pandemic, changes in laws and regulations, currency fluctuations, increased competition, and changes in economic conditions, including the risk of an economic downturn or recession, trade embargoes, restrictions or other barriers, as well as other conditions that may impact the Company’s exhibitor and studio partners, and consumer spending. The market’s slow recovery from the pandemic has caused some theatrical exhibitors in Mainland China, including several of the Company’s exhibitor partners, to experience financial difficulties which, in certain cases, has resulted in delays in meeting payment and theater system installation obligations to the Company. There are no guarantees that such financial difficulties will not continue, or that partner delays or failures to meet contractual obligations will not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 in the future, adversely impacting the Company’s future revenues and cash flows.</w:t>
      </w:r>
    </w:p>
    <w:p>
      <w:pPr>
        <w:spacing w:after="0" w:line="249" w:lineRule="exact"/>
        <w:rPr>
          <w:sz w:val="20"/>
          <w:szCs w:val="20"/>
          <w:color w:val="auto"/>
        </w:rPr>
      </w:pPr>
    </w:p>
    <w:p>
      <w:pPr>
        <w:jc w:val="both"/>
        <w:ind w:firstLine="219"/>
        <w:spacing w:after="0" w:line="252" w:lineRule="auto"/>
        <w:rPr>
          <w:sz w:val="20"/>
          <w:szCs w:val="20"/>
          <w:color w:val="auto"/>
        </w:rPr>
      </w:pPr>
      <w:r>
        <w:rPr>
          <w:rFonts w:ascii="Times New Roman" w:cs="Times New Roman" w:eastAsia="Times New Roman" w:hAnsi="Times New Roman"/>
          <w:sz w:val="18"/>
          <w:szCs w:val="18"/>
          <w:color w:val="auto"/>
        </w:rPr>
        <w:t>The Company does not believe that it is currently required to obtain any permission or approval from the China Securities Regulatory Commission, the Cyberspace Administration of China or any other regulatory authority in the PRC for its operations, but there can be no assurance that such permissions or approvals would not be required in the future and, if required, that they would be granted in a timely manner, on acceptable terms, or at all. Furthermore, PRC regulators, including the Cyberspace Administration of China, the Ministry of Industry and Information Technology, and the Ministry of Public Security, have been increasingly focused on regulation in data security and data protection. Regulatory requirements concerning data protection and cybersecurity, as well as other requirements concerning operations of foreign businesses, in the PRC are evolving, and their enactment timetable, interpretation and implementation involve significant uncertainties. To the extent any additional PRC laws and regulations become applicable to the Company, it may be subject to increased risks and uncertainties associated with the legal system in the PRC, including with respect to the enforcement of laws and the possibility of changes of rules and regulations with little or no advance notice.</w:t>
      </w:r>
    </w:p>
    <w:p>
      <w:pPr>
        <w:spacing w:after="0" w:line="216" w:lineRule="exact"/>
        <w:rPr>
          <w:sz w:val="20"/>
          <w:szCs w:val="20"/>
          <w:color w:val="auto"/>
        </w:rPr>
      </w:pPr>
    </w:p>
    <w:p>
      <w:pPr>
        <w:jc w:val="both"/>
        <w:ind w:firstLine="219"/>
        <w:spacing w:after="0" w:line="252" w:lineRule="auto"/>
        <w:rPr>
          <w:sz w:val="20"/>
          <w:szCs w:val="20"/>
          <w:color w:val="auto"/>
        </w:rPr>
      </w:pPr>
      <w:r>
        <w:rPr>
          <w:rFonts w:ascii="Times New Roman" w:cs="Times New Roman" w:eastAsia="Times New Roman" w:hAnsi="Times New Roman"/>
          <w:sz w:val="18"/>
          <w:szCs w:val="18"/>
          <w:color w:val="auto"/>
        </w:rPr>
        <w:t>Certain risks and uncertainties of doing business in China are solely within the control of the Chinese government, and Chinese law regulates both the scope of the Company’s continued expansion in China and the Company’s business within China. For instance, the Chinese government regulates the number, timing, and terms of Hollywood films released to the China market. A number of prominent Hollywood films were denied release dates in China in 2021 and 2022, including several films released in IMAX format in other markets. While significantly more Hollywood films were given release dates in China in 2023 and 2024, several of the prominent Hollywood sequels or franchise films released into China have underperformed their predecessors in that market. The Company cannot provide assurance that the Chinese government will continue to permit the release of Hollywood IMAX films in China or that the timing, number or performance of IMAX releases will be favorable to the Company. There are also uncertainties regarding the interpretation and application of laws and regulations and the enforceability of intellectual property and contract rights in China. If the Company were unable to navigate China’s regulatory environment, or if the Company were unable to enforce its intellectual property or contract rights in China, the Company’s business could be adversely impacted.</w:t>
      </w:r>
    </w:p>
    <w:p>
      <w:pPr>
        <w:spacing w:after="0" w:line="213" w:lineRule="exact"/>
        <w:rPr>
          <w:sz w:val="20"/>
          <w:szCs w:val="20"/>
          <w:color w:val="auto"/>
        </w:rPr>
      </w:pPr>
    </w:p>
    <w:p>
      <w:pPr>
        <w:jc w:val="both"/>
        <w:ind w:firstLine="219"/>
        <w:spacing w:after="0" w:line="279" w:lineRule="auto"/>
        <w:rPr>
          <w:sz w:val="20"/>
          <w:szCs w:val="20"/>
          <w:color w:val="auto"/>
        </w:rPr>
      </w:pPr>
      <w:r>
        <w:rPr>
          <w:rFonts w:ascii="Times New Roman" w:cs="Times New Roman" w:eastAsia="Times New Roman" w:hAnsi="Times New Roman"/>
          <w:sz w:val="18"/>
          <w:szCs w:val="18"/>
          <w:color w:val="auto"/>
        </w:rPr>
        <w:t>The worsening of United States–China political tensions could exacerbate any or all of these risks, and adverse developments in any of these areas could impact the Company’s future revenues and cash flows and could cause the Company to fail to achieve anticipated growth in Mainland China.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convert all of its backlog into revenue and cash flows.</w:t>
      </w:r>
    </w:p>
    <w:p>
      <w:pPr>
        <w:spacing w:after="0" w:line="253" w:lineRule="exact"/>
        <w:rPr>
          <w:sz w:val="20"/>
          <w:szCs w:val="20"/>
          <w:color w:val="auto"/>
        </w:rPr>
      </w:pPr>
    </w:p>
    <w:p>
      <w:pPr>
        <w:jc w:val="both"/>
        <w:ind w:firstLine="219"/>
        <w:spacing w:after="0" w:line="251" w:lineRule="auto"/>
        <w:rPr>
          <w:sz w:val="20"/>
          <w:szCs w:val="20"/>
          <w:color w:val="auto"/>
        </w:rPr>
      </w:pPr>
      <w:r>
        <w:rPr>
          <w:rFonts w:ascii="Times New Roman" w:cs="Times New Roman" w:eastAsia="Times New Roman" w:hAnsi="Times New Roman"/>
          <w:sz w:val="18"/>
          <w:szCs w:val="18"/>
          <w:color w:val="auto"/>
        </w:rPr>
        <w:t>As of September 30, 2024, the Company’s backlog included 472 IMAX Systems, consisting of 170 IMAX Systems under sales or lease arrangements and 302 IMAX Systems under joint revenue sharing arrangements. The Company lists signed contracts for IMAX Systems for which revenue has not been recognized as backlog prior to the time of revenue recognition. The total value of the backlog represents all binding IMAX System sale or lease agreements scheduled to be installed in the future. Backlog value includes initial fees along with the estimated present value of contractual ongoing fees due over the term, and a variable consideration estimate for the IMAX Systems under sales arrangements, but excludes amounts allocated to maintenance and extended warranty revenues. Notwithstanding their legal obligations, some of the Company’s exhibition customers with which it has signed contracts may be delinquent in their contractual payments and/or not accept delivery of IMAX Systems that are included in the Company’s backlog. An economic or industry downturn may exacerbate exhibition customer liquidity constraints and the risk of customers not accepting delivery of IMAX Systems. Customers sometimes request that the Company agree to modify their obligations concerning systems in backlog, which the Company has agreed to do in the past under certain circumstances, and may agree to do in the future. Customer-requested delays in the installation of IMAX Systems in backlog remain a recurring and unpredictable part of the Company’s business. China’s slow recovery from the COVID-19 pandemic has caused several of the Company’s</w:t>
      </w:r>
    </w:p>
    <w:p>
      <w:pPr>
        <w:spacing w:after="0" w:line="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exhibition partners there to delay payment or theater system installation obligations to the Company. Any reduction or change in backlog could adversely affect the Company’s future revenues and cash flows.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There is collection risk associated with payments to be received over the terms of the Company’s IMAX System agreements.</w:t>
      </w:r>
    </w:p>
    <w:p>
      <w:pPr>
        <w:spacing w:after="0" w:line="253" w:lineRule="exact"/>
        <w:rPr>
          <w:sz w:val="20"/>
          <w:szCs w:val="20"/>
          <w:color w:val="auto"/>
        </w:rPr>
      </w:pPr>
    </w:p>
    <w:p>
      <w:pPr>
        <w:jc w:val="both"/>
        <w:ind w:firstLine="219"/>
        <w:spacing w:after="0" w:line="263" w:lineRule="auto"/>
        <w:rPr>
          <w:sz w:val="20"/>
          <w:szCs w:val="20"/>
          <w:color w:val="auto"/>
        </w:rPr>
      </w:pPr>
      <w:r>
        <w:rPr>
          <w:rFonts w:ascii="Times New Roman" w:cs="Times New Roman" w:eastAsia="Times New Roman" w:hAnsi="Times New Roman"/>
          <w:sz w:val="18"/>
          <w:szCs w:val="18"/>
          <w:color w:val="auto"/>
        </w:rPr>
        <w:t>The Company is dependent in part on the viability of its exhibitors for collections under long-term leases, sales financing agreements, and joint revenue sharing arrangements. Exhibitors or other operators may experience financial difficulties that could cause them to be unable to fulfill their contractual payment obligations to the Company. As a result, the Company’s future revenues and cash flows could be adversely affected.</w:t>
      </w:r>
    </w:p>
    <w:p>
      <w:pPr>
        <w:spacing w:after="0" w:line="20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On June 12, 2017, the Company announced that its Board of Directors approved a $200.0 million share repurchase program for its common shares that would have expired on June 30, 2020, which was subsequently extended for a 12-month period in 2020, 2021, and 2022 and increased in the total share repurchase authority to $400.0 million. In 2023, the Board of Directors approved a 36-month extension to the share repurchase program through June 30, 2026. As of September 30, 2024, the Company had $150.7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21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did not repurchase any common shares under the Company’s publicly announced program, and there are no other programs under which the Company repurchases shares.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common share repurchase program activity for the three months ended September 30, 2024 was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1"/>
        </w:trPr>
        <w:tc>
          <w:tcPr>
            <w:tcW w:w="4600" w:type="dxa"/>
            <w:vAlign w:val="bottom"/>
          </w:tcPr>
          <w:p>
            <w:pPr>
              <w:spacing w:after="0"/>
              <w:rPr>
                <w:sz w:val="17"/>
                <w:szCs w:val="17"/>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60" w:type="dxa"/>
            <w:vAlign w:val="bottom"/>
          </w:tcPr>
          <w:p>
            <w:pPr>
              <w:spacing w:after="0"/>
              <w:rPr>
                <w:sz w:val="17"/>
                <w:szCs w:val="17"/>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5"/>
        </w:trPr>
        <w:tc>
          <w:tcPr>
            <w:tcW w:w="46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through July 31, 2024</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150,720,352</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through August 31, 2024</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150,720,352</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through September 30, 2024</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150,720,352</w:t>
            </w:r>
          </w:p>
        </w:tc>
        <w:tc>
          <w:tcPr>
            <w:tcW w:w="0" w:type="dxa"/>
            <w:vAlign w:val="bottom"/>
          </w:tcPr>
          <w:p>
            <w:pPr>
              <w:spacing w:after="0"/>
              <w:rPr>
                <w:sz w:val="1"/>
                <w:szCs w:val="1"/>
                <w:color w:val="auto"/>
              </w:rPr>
            </w:pP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5"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In 2023, IMAX China's shareholders granted its Board of Directors a general mandate authorizing the Board, subject to applicable laws, to repurchase shares of IMAX China not to exceed 10% of the total number of issued shares as of June 7, 2023 (33,959,314 shares). This program expired on the date of the 2024 Annual General Meeting of IMAX China on June 7, 2024. During the 2024 Annual General Meeting, shareholders approved the repurchase of shares of IMAX China not to exceed 10% of the total number of shares as of June 7, 2024 (34,000,845 shares). This program will be valid until the 2025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September 30, 2024, IMAX China did not repurchase any shares.</w:t>
      </w:r>
    </w:p>
    <w:p>
      <w:pPr>
        <w:spacing w:after="0" w:line="21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(Refer to Note 6 of Notes to Condensed Consolidated Financial Statements in Part I, Item 1 for a summary of the material terms and conditions of the Company’s revolving credit facility, which include a limitation of the amount of permitted share repurchases.)</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53" w:lineRule="exact"/>
        <w:rPr>
          <w:sz w:val="20"/>
          <w:szCs w:val="20"/>
          <w:color w:val="auto"/>
        </w:rPr>
      </w:pPr>
    </w:p>
    <w:p>
      <w:pPr>
        <w:ind w:left="780" w:hanging="387"/>
        <w:spacing w:after="0"/>
        <w:tabs>
          <w:tab w:leader="none" w:pos="78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None.</w:t>
      </w:r>
    </w:p>
    <w:p>
      <w:pPr>
        <w:spacing w:after="0" w:line="248" w:lineRule="exact"/>
        <w:rPr>
          <w:rFonts w:ascii="Times New Roman" w:cs="Times New Roman" w:eastAsia="Times New Roman" w:hAnsi="Times New Roman"/>
          <w:sz w:val="18"/>
          <w:szCs w:val="18"/>
          <w:b w:val="1"/>
          <w:bCs w:val="1"/>
          <w:i w:val="1"/>
          <w:iCs w:val="1"/>
          <w:color w:val="auto"/>
        </w:rPr>
      </w:pPr>
    </w:p>
    <w:p>
      <w:pPr>
        <w:ind w:left="780" w:hanging="387"/>
        <w:spacing w:after="0"/>
        <w:tabs>
          <w:tab w:leader="none" w:pos="78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None.</w:t>
      </w:r>
    </w:p>
    <w:p>
      <w:pPr>
        <w:spacing w:after="0" w:line="244" w:lineRule="exact"/>
        <w:rPr>
          <w:rFonts w:ascii="Times New Roman" w:cs="Times New Roman" w:eastAsia="Times New Roman" w:hAnsi="Times New Roman"/>
          <w:sz w:val="18"/>
          <w:szCs w:val="18"/>
          <w:b w:val="1"/>
          <w:bCs w:val="1"/>
          <w:i w:val="1"/>
          <w:iCs w:val="1"/>
          <w:color w:val="auto"/>
        </w:rPr>
      </w:pPr>
    </w:p>
    <w:p>
      <w:pPr>
        <w:ind w:left="780" w:hanging="387"/>
        <w:spacing w:after="0"/>
        <w:tabs>
          <w:tab w:leader="none" w:pos="78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10b5- 1 trading arrangement during the Company’s fiscal quarter ended September 30, 2024.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r>
      <w:tr>
        <w:trPr>
          <w:trHeight w:val="487"/>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7"/>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6"/>
        </w:trPr>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4"/>
        </w:trPr>
        <w:tc>
          <w:tcPr>
            <w:tcW w:w="7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8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dated October 30, 2024, by Richard L. Gelfond</w:t>
            </w: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 dated October 30, 2024, by Natasha Fernandes</w:t>
            </w:r>
          </w:p>
        </w:tc>
        <w:tc>
          <w:tcPr>
            <w:tcW w:w="20" w:type="dxa"/>
            <w:vAlign w:val="bottom"/>
            <w:tcBorders>
              <w:top w:val="single" w:sz="8" w:color="0000FF"/>
            </w:tcBorders>
          </w:tcPr>
          <w:p>
            <w:pPr>
              <w:spacing w:after="0"/>
              <w:rPr>
                <w:sz w:val="24"/>
                <w:szCs w:val="24"/>
                <w:color w:val="auto"/>
              </w:rPr>
            </w:pPr>
          </w:p>
        </w:tc>
        <w:tc>
          <w:tcPr>
            <w:tcW w:w="1520" w:type="dxa"/>
            <w:vAlign w:val="bottom"/>
          </w:tcPr>
          <w:p>
            <w:pPr>
              <w:spacing w:after="0"/>
              <w:rPr>
                <w:sz w:val="24"/>
                <w:szCs w:val="24"/>
                <w:color w:val="auto"/>
              </w:rPr>
            </w:pP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dated October 30, 2024, by Richard L. Gelfond</w:t>
            </w: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 dated October 30, 2024, by Natasha Fernandes</w:t>
            </w:r>
          </w:p>
        </w:tc>
        <w:tc>
          <w:tcPr>
            <w:tcW w:w="1520" w:type="dxa"/>
            <w:vAlign w:val="bottom"/>
          </w:tcPr>
          <w:p>
            <w:pPr>
              <w:spacing w:after="0"/>
              <w:rPr>
                <w:sz w:val="24"/>
                <w:szCs w:val="24"/>
                <w:color w:val="auto"/>
              </w:rPr>
            </w:pPr>
          </w:p>
        </w:tc>
      </w:tr>
      <w:tr>
        <w:trPr>
          <w:trHeight w:val="377"/>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w:t>
            </w:r>
          </w:p>
        </w:tc>
        <w:tc>
          <w:tcPr>
            <w:tcW w:w="1560" w:type="dxa"/>
            <w:vAlign w:val="bottom"/>
            <w:gridSpan w:val="3"/>
          </w:tcPr>
          <w:p>
            <w:pPr>
              <w:spacing w:after="0"/>
              <w:rPr>
                <w:sz w:val="24"/>
                <w:szCs w:val="24"/>
                <w:color w:val="auto"/>
              </w:rPr>
            </w:pPr>
          </w:p>
        </w:tc>
      </w:tr>
      <w:tr>
        <w:trPr>
          <w:trHeight w:val="233"/>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101. PRE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42" w:lineRule="exact"/>
        <w:rPr>
          <w:sz w:val="20"/>
          <w:szCs w:val="20"/>
          <w:color w:val="auto"/>
        </w:rPr>
      </w:pPr>
    </w:p>
    <w:p>
      <w:pPr>
        <w:ind w:right="3700" w:firstLine="25"/>
        <w:spacing w:after="0" w:line="698" w:lineRule="auto"/>
        <w:tabs>
          <w:tab w:leader="none" w:pos="105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*Filed herewith.</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9182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600" w:type="dxa"/>
            <w:vAlign w:val="bottom"/>
          </w:tcPr>
          <w:p>
            <w:pPr>
              <w:spacing w:after="0"/>
              <w:rPr>
                <w:sz w:val="20"/>
                <w:szCs w:val="20"/>
                <w:color w:val="auto"/>
              </w:rPr>
            </w:pPr>
          </w:p>
        </w:tc>
        <w:tc>
          <w:tcPr>
            <w:tcW w:w="76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IMAX CORPORATION</w:t>
            </w:r>
          </w:p>
        </w:tc>
      </w:tr>
      <w:tr>
        <w:trPr>
          <w:trHeight w:val="53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24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6"/>
        </w:trPr>
        <w:tc>
          <w:tcPr>
            <w:tcW w:w="36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5"/>
        </w:trPr>
        <w:tc>
          <w:tcPr>
            <w:tcW w:w="3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268"/>
        </w:trPr>
        <w:tc>
          <w:tcPr>
            <w:tcW w:w="36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&amp; Executive Vice President</w:t>
            </w:r>
          </w:p>
        </w:tc>
      </w:tr>
      <w:tr>
        <w:trPr>
          <w:trHeight w:val="268"/>
        </w:trPr>
        <w:tc>
          <w:tcPr>
            <w:tcW w:w="36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3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24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ELIZABETH GITAJN</w:t>
            </w:r>
          </w:p>
        </w:tc>
      </w:tr>
      <w:tr>
        <w:trPr>
          <w:trHeight w:val="26"/>
        </w:trPr>
        <w:tc>
          <w:tcPr>
            <w:tcW w:w="36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5"/>
        </w:trPr>
        <w:tc>
          <w:tcPr>
            <w:tcW w:w="3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Gitajn</w:t>
            </w:r>
          </w:p>
        </w:tc>
      </w:tr>
      <w:tr>
        <w:trPr>
          <w:trHeight w:val="268"/>
        </w:trPr>
        <w:tc>
          <w:tcPr>
            <w:tcW w:w="36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Vice-President, Finance &amp; Controller</w:t>
            </w:r>
          </w:p>
        </w:tc>
      </w:tr>
      <w:tr>
        <w:trPr>
          <w:trHeight w:val="268"/>
        </w:trPr>
        <w:tc>
          <w:tcPr>
            <w:tcW w:w="36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764"/>
        </w:trPr>
        <w:tc>
          <w:tcPr>
            <w:tcW w:w="3600" w:type="dxa"/>
            <w:vAlign w:val="bottom"/>
          </w:tcPr>
          <w:p>
            <w:pPr>
              <w:spacing w:after="0"/>
              <w:rPr>
                <w:sz w:val="24"/>
                <w:szCs w:val="24"/>
                <w:color w:val="auto"/>
              </w:rPr>
            </w:pPr>
          </w:p>
        </w:tc>
        <w:tc>
          <w:tcPr>
            <w:tcW w:w="2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71</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36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L. Gelfond, certify that:</w:t>
      </w:r>
    </w:p>
    <w:p>
      <w:pPr>
        <w:spacing w:after="0" w:line="249" w:lineRule="exact"/>
        <w:rPr>
          <w:sz w:val="20"/>
          <w:szCs w:val="20"/>
          <w:color w:val="auto"/>
        </w:rPr>
      </w:pPr>
    </w:p>
    <w:p>
      <w:pPr>
        <w:ind w:left="380" w:hanging="320"/>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2024 of the registrant, IMAX Corporation;</w:t>
      </w:r>
    </w:p>
    <w:p>
      <w:pPr>
        <w:spacing w:after="0" w:line="248" w:lineRule="exact"/>
        <w:rPr>
          <w:rFonts w:ascii="Times New Roman" w:cs="Times New Roman" w:eastAsia="Times New Roman" w:hAnsi="Times New Roman"/>
          <w:sz w:val="18"/>
          <w:szCs w:val="18"/>
          <w:color w:val="auto"/>
        </w:rPr>
      </w:pPr>
    </w:p>
    <w:p>
      <w:pPr>
        <w:jc w:val="both"/>
        <w:ind w:left="380" w:hanging="320"/>
        <w:spacing w:after="0" w:line="263"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380" w:hanging="320"/>
        <w:spacing w:after="0" w:line="263"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020" w:hanging="317"/>
        <w:spacing w:after="0" w:line="279" w:lineRule="auto"/>
        <w:tabs>
          <w:tab w:leader="none" w:pos="101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020" w:right="20" w:hanging="317"/>
        <w:spacing w:after="0" w:line="279" w:lineRule="auto"/>
        <w:tabs>
          <w:tab w:leader="none" w:pos="101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020" w:hanging="317"/>
        <w:spacing w:after="0" w:line="279" w:lineRule="auto"/>
        <w:tabs>
          <w:tab w:leader="none" w:pos="10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30, 2024</w:t>
            </w: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16"/>
        </w:trPr>
        <w:tc>
          <w:tcPr>
            <w:tcW w:w="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Gelfond</w:t>
            </w:r>
          </w:p>
        </w:tc>
      </w:tr>
      <w:tr>
        <w:trPr>
          <w:trHeight w:val="233"/>
        </w:trPr>
        <w:tc>
          <w:tcPr>
            <w:tcW w:w="8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56"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Natasha Fernandes, certify that:</w:t>
      </w:r>
    </w:p>
    <w:p>
      <w:pPr>
        <w:spacing w:after="0" w:line="249" w:lineRule="exact"/>
        <w:rPr>
          <w:sz w:val="20"/>
          <w:szCs w:val="20"/>
          <w:color w:val="auto"/>
        </w:rPr>
      </w:pPr>
    </w:p>
    <w:p>
      <w:pPr>
        <w:ind w:left="380" w:hanging="320"/>
        <w:spacing w:after="0"/>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2024 of the registrant, IMAX Corporation;</w:t>
      </w:r>
    </w:p>
    <w:p>
      <w:pPr>
        <w:spacing w:after="0" w:line="248" w:lineRule="exact"/>
        <w:rPr>
          <w:rFonts w:ascii="Times New Roman" w:cs="Times New Roman" w:eastAsia="Times New Roman" w:hAnsi="Times New Roman"/>
          <w:sz w:val="18"/>
          <w:szCs w:val="18"/>
          <w:color w:val="auto"/>
        </w:rPr>
      </w:pPr>
    </w:p>
    <w:p>
      <w:pPr>
        <w:jc w:val="both"/>
        <w:ind w:left="380" w:hanging="320"/>
        <w:spacing w:after="0" w:line="263"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380" w:hanging="320"/>
        <w:spacing w:after="0" w:line="255"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8"/>
          <w:szCs w:val="18"/>
          <w:color w:val="auto"/>
        </w:rPr>
      </w:pPr>
    </w:p>
    <w:p>
      <w:pPr>
        <w:jc w:val="both"/>
        <w:ind w:left="1020" w:hanging="317"/>
        <w:spacing w:after="0" w:line="253" w:lineRule="auto"/>
        <w:tabs>
          <w:tab w:leader="none" w:pos="101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020" w:hanging="317"/>
        <w:spacing w:after="0" w:line="279" w:lineRule="auto"/>
        <w:tabs>
          <w:tab w:leader="none" w:pos="101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020" w:right="20" w:hanging="317"/>
        <w:spacing w:after="0" w:line="279" w:lineRule="auto"/>
        <w:tabs>
          <w:tab w:leader="none" w:pos="101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020" w:hanging="317"/>
        <w:spacing w:after="0" w:line="279" w:lineRule="auto"/>
        <w:tabs>
          <w:tab w:leader="none" w:pos="101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30, 2024</w:t>
            </w: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16"/>
        </w:trPr>
        <w:tc>
          <w:tcPr>
            <w:tcW w:w="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179"/>
        </w:trPr>
        <w:tc>
          <w:tcPr>
            <w:tcW w:w="8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940" w:type="dxa"/>
            <w:vAlign w:val="bottom"/>
          </w:tcPr>
          <w:p>
            <w:pPr>
              <w:ind w:left="1960"/>
              <w:spacing w:after="0" w:line="179" w:lineRule="exact"/>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Chief Financial Officer &amp; Executive Vice</w:t>
            </w:r>
          </w:p>
        </w:tc>
      </w:tr>
      <w:tr>
        <w:trPr>
          <w:trHeight w:val="233"/>
        </w:trPr>
        <w:tc>
          <w:tcPr>
            <w:tcW w:w="8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bl>
    <w:p>
      <w:pPr>
        <w:sectPr>
          <w:pgSz w:w="11900" w:h="16838" w:orient="portrait"/>
          <w:cols w:equalWidth="0" w:num="1">
            <w:col w:w="11240"/>
          </w:cols>
          <w:pgMar w:left="320" w:top="756"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32.1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8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204"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2024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30, 2024</w:t>
            </w: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16"/>
        </w:trPr>
        <w:tc>
          <w:tcPr>
            <w:tcW w:w="8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Gelfond</w:t>
            </w:r>
          </w:p>
        </w:tc>
      </w:tr>
      <w:tr>
        <w:trPr>
          <w:trHeight w:val="233"/>
        </w:trPr>
        <w:tc>
          <w:tcPr>
            <w:tcW w:w="8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56"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32.2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83" w:lineRule="exact"/>
        <w:rPr>
          <w:sz w:val="20"/>
          <w:szCs w:val="20"/>
          <w:color w:val="auto"/>
        </w:rPr>
      </w:pPr>
    </w:p>
    <w:p>
      <w:pPr>
        <w:jc w:val="both"/>
        <w:ind w:firstLine="643"/>
        <w:spacing w:after="0" w:line="279"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Natasha Fernandes, Chief Financial Officer of IMAX Corporation, a Canadian corporation (the “Company”), hereby certify, to my knowledge, that:</w:t>
      </w:r>
    </w:p>
    <w:p>
      <w:pPr>
        <w:spacing w:after="0" w:line="189"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2024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30, 2024</w:t>
            </w: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16"/>
        </w:trPr>
        <w:tc>
          <w:tcPr>
            <w:tcW w:w="8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179"/>
        </w:trPr>
        <w:tc>
          <w:tcPr>
            <w:tcW w:w="8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780" w:type="dxa"/>
            <w:vAlign w:val="bottom"/>
          </w:tcPr>
          <w:p>
            <w:pPr>
              <w:ind w:left="2020"/>
              <w:spacing w:after="0" w:line="179" w:lineRule="exact"/>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Chief Financial Officer &amp; Executive Vice</w:t>
            </w:r>
          </w:p>
        </w:tc>
      </w:tr>
      <w:tr>
        <w:trPr>
          <w:trHeight w:val="233"/>
        </w:trPr>
        <w:tc>
          <w:tcPr>
            <w:tcW w:w="8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 w:lineRule="exact"/>
        <w:rPr>
          <w:sz w:val="20"/>
          <w:szCs w:val="20"/>
          <w:color w:val="auto"/>
        </w:rPr>
      </w:pPr>
    </w:p>
    <w:sectPr>
      <w:pgSz w:w="11900" w:h="16838" w:orient="portrait"/>
      <w:cols w:equalWidth="0" w:num="1">
        <w:col w:w="11240"/>
      </w:cols>
      <w:pgMar w:left="320" w:top="7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4"/>
    </w:lvl>
  </w:abstractNum>
  <w:abstractNum w:abstractNumId="7">
    <w:nsid w:val="836C40E"/>
    <w:multiLevelType w:val="hybridMultilevel"/>
    <w:lvl w:ilvl="0">
      <w:lvlJc w:val="left"/>
      <w:lvlText w:val="%1."/>
      <w:numFmt w:val="decimal"/>
      <w:start w:val="5"/>
    </w:lvl>
  </w:abstractNum>
  <w:abstractNum w:abstractNumId="8">
    <w:nsid w:val="2901D82"/>
    <w:multiLevelType w:val="hybridMultilevel"/>
    <w:lvl w:ilvl="0">
      <w:lvlJc w:val="left"/>
      <w:lvlText w:val="%1."/>
      <w:numFmt w:val="decimal"/>
      <w:start w:val="6"/>
    </w:lvl>
  </w:abstractNum>
  <w:abstractNum w:abstractNumId="9">
    <w:nsid w:val="3A95F874"/>
    <w:multiLevelType w:val="hybridMultilevel"/>
    <w:lvl w:ilvl="0">
      <w:lvlJc w:val="left"/>
      <w:lvlText w:val="%1."/>
      <w:numFmt w:val="decimal"/>
      <w:start w:val="7"/>
    </w:lvl>
  </w:abstractNum>
  <w:abstractNum w:abstractNumId="10">
    <w:nsid w:val="8138641"/>
    <w:multiLevelType w:val="hybridMultilevel"/>
    <w:lvl w:ilvl="0">
      <w:lvlJc w:val="left"/>
      <w:lvlText w:val="(%1)"/>
      <w:numFmt w:val="lowerRoman"/>
      <w:start w:val="1"/>
    </w:lvl>
  </w:abstractNum>
  <w:abstractNum w:abstractNumId="11">
    <w:nsid w:val="1E7FF521"/>
    <w:multiLevelType w:val="hybridMultilevel"/>
    <w:lvl w:ilvl="0">
      <w:lvlJc w:val="left"/>
      <w:lvlText w:val="%1."/>
      <w:numFmt w:val="decimal"/>
      <w:start w:val="8"/>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emdash "/>
      <w:numFmt w:val="bullet"/>
      <w:start w:val="1"/>
    </w:lvl>
  </w:abstractNum>
  <w:abstractNum w:abstractNumId="18">
    <w:nsid w:val="614FD4A1"/>
    <w:multiLevelType w:val="hybridMultilevel"/>
    <w:lvl w:ilvl="0">
      <w:lvlJc w:val="left"/>
      <w:lvlText w:val="\emdash "/>
      <w:numFmt w:val="bullet"/>
      <w:start w:val="1"/>
    </w:lvl>
  </w:abstractNum>
  <w:abstractNum w:abstractNumId="19">
    <w:nsid w:val="419AC241"/>
    <w:multiLevelType w:val="hybridMultilevel"/>
    <w:lvl w:ilvl="0">
      <w:lvlJc w:val="left"/>
      <w:lvlText w:val="(%1)"/>
      <w:numFmt w:val="lowerRoman"/>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decimal"/>
      <w:start w:val="104"/>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2024-10-30T16:35:50Z</dcterms:created>
  <dcterms:modified xsi:type="dcterms:W3CDTF">2024-10-30T16:35:50Z</dcterms:modified>
</cp:coreProperties>
</file>